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53h KredWG — Liquidität</w:t>
      </w:r>
    </w:p>
    <w:p>
      <w:r>
        <w:rPr>
          <w:color w:val="555555"/>
          <w:sz w:val="18"/>
        </w:rPr>
        <w:t xml:space="preserve">Kreditwesengesetz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Bundesanstalt kann bei der Beurteilung der Liquidität im Einzelfall gegenüber einer zentralen Gegenpartei Liquiditätsanforderungen anordnen, die über die Vorgaben hinausgehen, die in Artikel 44 der Verordnung (EU) Nr. 648/2012 gegebenenfalls in Verbindung mit nach Artikel 44 Absatz 2 erlassenen technischen Regulierungsstandards festgelegt sind, wenn ohne eine solche Maßnahme die nachhaltige Liquidität der zentralen Gegenpartei nicht gesichert ist.</w:t>
      </w:r>
    </w:p>
    <w:p>
      <w:r>
        <w:rPr>
          <w:color w:val="555555"/>
          <w:sz w:val="17"/>
        </w:rPr>
        <w:t xml:space="preserve">Zitiervorschlag: § 53h KredWG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https://recht.nulegal.eu/gesetze/KredWG/53h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