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53f KredWG — Aufsichtskollegien</w:t>
      </w:r>
    </w:p>
    <w:p>
      <w:r>
        <w:rPr>
          <w:color w:val="555555"/>
          <w:sz w:val="18"/>
        </w:rPr>
        <w:t xml:space="preserve">Kreditwesengesetz</w:t>
      </w:r>
    </w:p>
    <w:p>
      <w:r>
        <w:rPr>
          <w:color w:val="555555"/>
          <w:sz w:val="18"/>
        </w:rPr>
        <w:t xml:space="preserve">Stand: 10.06.2019 (konsolidierte Textfassung, kein amtliches Inkrafttretensdatum)</w:t>
      </w:r>
    </w:p>
    <w:p>
      <w:r>
        <w:t xml:space="preserve">(1) Soweit die Bundesanstalt und die Deutsche Bundesbank einem Aufsichtskollegium nach Artikel 18 der Verordnung (EU) Nr. 648/2012 angehören, nehmen sie bei Abstimmungen jeweils eine Stimme wahr.</w:t>
      </w:r>
    </w:p>
    <w:p>
      <w:r>
        <w:t xml:space="preserve">(2) Falls nach Artikel 19 Absatz 3 Satz 3 der Verordnung (EU) Nr. 648/2012 drei Stimmen für deutsche Aufsichtsbehörden vorgesehen sind oder die Bundesanstalt oder die Deutsche Bundesbank dem Aufsichtskollegium nicht angehören, rücken in der Wahrnehmung der Stimmen die zuständigen Aufsichtsbehörden der Handelsplätze im Sinne des Artikels 18 Absatz 2 Buchstabe d der Verordnung (EU) Nr. 648/2012 nach, und zwar in der Reihenfolge des an dem Handelsplatz im vorangegangenen Kalenderjahr gehandelten Volumens an Finanzinstrumenten, das über die betreffende zentrale Gegenpartei abgerechnet wurde.</w:t>
      </w:r>
    </w:p>
    <w:p>
      <w:r>
        <w:rPr>
          <w:color w:val="555555"/>
          <w:sz w:val="17"/>
        </w:rPr>
        <w:t xml:space="preserve">Zitiervorschlag: § 53f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