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53co KredWG — Aufsichtsmaßnahmen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Bundesanstalt verlangt von CRD-Drittstaatenzweigstellen, frühzeitig die erforderlichen Maßnahmen zu ergreifen, um sicherzustellen, dass</w:t>
      </w:r>
    </w:p>
    <w:p>
      <w:pPr>
        <w:ind w:left="420"/>
      </w:pPr>
      <w:r>
        <w:t xml:space="preserve">1. die CRD-Drittstaatenzweigstellen die Anforderungen einhalten, die für sie nach diesem Gesetz gelten, oder dass die Einhaltung dieser Anforderungen wiederhergestellt wird und</w:t>
      </w:r>
    </w:p>
    <w:p>
      <w:pPr>
        <w:ind w:left="420"/>
      </w:pPr>
      <w:r>
        <w:t xml:space="preserve">2. die wesentlichen Risiken, denen die CRD-Drittstaatenzweigstelle ausgesetzt ist, solide und hinreichend abgedeckt und beherrscht werden und die CRD-Drittstaatenzweigstelle existenzfähig bleibt.</w:t>
      </w:r>
    </w:p>
    <w:p>
      <w:r>
        <w:t xml:space="preserve">(2) Für die Zwecke des Absatzes 1 kann die Bundesanstalt insbesondere verlangen, dass die CRD-Drittstaatenzweigstellen</w:t>
      </w:r>
    </w:p>
    <w:p>
      <w:pPr>
        <w:ind w:left="420"/>
      </w:pPr>
      <w:r>
        <w:t xml:space="preserve">1. eine über die in § 53ce Absatz 1 festgelegten Mindestanforderungen hinausgehende, im Einklang mit den dortigen Absätzen 2 und 3 stehende Kapitalausstattung vorhalten oder andere zusätzliche Kapitalanforderungen erfüllen;</w:t>
      </w:r>
    </w:p>
    <w:p>
      <w:pPr>
        <w:ind w:left="420"/>
      </w:pPr>
      <w:r>
        <w:t xml:space="preserve">2. zusätzlich zu den in § 53cf festgelegten Anforderungen weitere spezifische Liquiditätsanforderungen erfüllen; jegliche zusätzlichen liquiden Aktiva nach dieser Nummer müssen die in § 53cf festgelegten Anforderungen erfüllen;</w:t>
      </w:r>
    </w:p>
    <w:p>
      <w:pPr>
        <w:ind w:left="420"/>
      </w:pPr>
      <w:r>
        <w:t xml:space="preserve">3. ihre Regelungen für Unternehmensführung, Risikomanagement und Buchungsregeln stärken;</w:t>
      </w:r>
    </w:p>
    <w:p>
      <w:pPr>
        <w:ind w:left="420"/>
      </w:pPr>
      <w:r>
        <w:t xml:space="preserve">4. den Umfang ihrer Geschäfte oder der von ihr ausgeübten Tätigkeiten sowie die Gegenparteien dieser Tätigkeiten einschränken oder begrenzen;</w:t>
      </w:r>
    </w:p>
    <w:p>
      <w:pPr>
        <w:ind w:left="420"/>
      </w:pPr>
      <w:r>
        <w:t xml:space="preserve">5. das mit ihren Tätigkeiten, Produkten und Systemen verbundene Risiko verringern, einschließlich ihrer Auslagerungstätigkeiten, und die Ausübung oder das Anbieten solcher Tätigkeiten oder Produkte einstellen;</w:t>
      </w:r>
    </w:p>
    <w:p>
      <w:pPr>
        <w:ind w:left="420"/>
      </w:pPr>
      <w:r>
        <w:t xml:space="preserve">6. zusätzliche Meldepflichten im Einklang mit § 53ck Absatz 3 erfüllen oder die Häufigkeit der regelmäßigen Meldung erhöhen und</w:t>
      </w:r>
    </w:p>
    <w:p>
      <w:pPr>
        <w:ind w:left="420"/>
      </w:pPr>
      <w:r>
        <w:t xml:space="preserve">7. Offenlegungen vornehmen.</w:t>
      </w:r>
    </w:p>
    <w:p>
      <w:r>
        <w:t xml:space="preserve">(3) Die Aufsichtsbefugnisse gemäß folgenden Vorschriften gelten entsprechend auch gegenüber CRD-Drittstaatenzweigstellen:</w:t>
      </w:r>
    </w:p>
    <w:p>
      <w:pPr>
        <w:ind w:left="420"/>
      </w:pPr>
      <w:r>
        <w:t xml:space="preserve">1. § 3 Absatz 4 sowie die §§ 4, 6 bis 6b;</w:t>
      </w:r>
    </w:p>
    <w:p>
      <w:pPr>
        <w:ind w:left="420"/>
      </w:pPr>
      <w:r>
        <w:t xml:space="preserve">2. die §§ 23 und 24c;</w:t>
      </w:r>
    </w:p>
    <w:p>
      <w:pPr>
        <w:ind w:left="420"/>
      </w:pPr>
      <w:r>
        <w:t xml:space="preserve">3. § 25a Absatz 2, § 25b Absatz 4 und 4a, § 25c Absatz 4c und 5;</w:t>
      </w:r>
    </w:p>
    <w:p>
      <w:pPr>
        <w:ind w:left="420"/>
      </w:pPr>
      <w:r>
        <w:t xml:space="preserve">4. § 25g Absatz 3, § 25h Absatz 2 Satz 3, Absatz 4 Satz 2, Absatz 5 und 7 Satz 2, § 25i Absatz 4;</w:t>
      </w:r>
    </w:p>
    <w:p>
      <w:pPr>
        <w:ind w:left="420"/>
      </w:pPr>
      <w:r>
        <w:t xml:space="preserve">5. die §§ 30 und 31, 33a, 34 sowie die §§ 36 bis 39;</w:t>
      </w:r>
    </w:p>
    <w:p>
      <w:pPr>
        <w:ind w:left="420"/>
      </w:pPr>
      <w:r>
        <w:t xml:space="preserve">6. die §§ 44 bis 45 und 45b bis 46b sowie</w:t>
      </w:r>
    </w:p>
    <w:p>
      <w:pPr>
        <w:ind w:left="420"/>
      </w:pPr>
      <w:r>
        <w:t xml:space="preserve">7. die §§ 46b, 46g, 47 bis 48u und 50.</w:t>
      </w:r>
    </w:p>
    <w:p>
      <w:r>
        <w:t xml:space="preserve">Für die Anwendung des § 36 Absatz 1 gilt die CRD-Drittstaatenzweigstelle als juristische Person.</w:t>
      </w:r>
    </w:p>
    <w:p>
      <w:r>
        <w:t xml:space="preserve">(4) § 46d Absatz 1 Satz 2 und 3 gilt entsprechend.</w:t>
      </w:r>
    </w:p>
    <w:p>
      <w:r>
        <w:t xml:space="preserve">(5) Die Verpflichtungen nach § 44 Absatz 1 Satz 1 gegenüber der Bundesanstalt und der Deutschen Bundesbank zur Auskunft und Vorlage von Unterlagen gelten auch für das Kopfunternehmen, für die Mitglieder deren Organe und deren Beschäftigte. Wer nach Satz 1 zur Erteilung einer Auskunft verpflichtet ist, kann die Auskunft auf solche Fragen verweigern, deren Beantwortung ihn selbst oder einen der in § 383 Absatz 1 Nummer 1 bis 3 der Zivilprozessordnung bezeichneten Angehörigen der Gefahr strafrechtlicher Verfolgung oder eines Verfahrens nach dem Gesetz über Ordnungswidrigkeiten aussetzen würde.</w:t>
      </w:r>
    </w:p>
    <w:p>
      <w:r>
        <w:rPr>
          <w:color w:val="555555"/>
          <w:sz w:val="17"/>
        </w:rPr>
        <w:t xml:space="preserve">Zitiervorschlag: § 53co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https://recht.nulegal.eu/gesetze/KredWG/53co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