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53cm KredWG — Aufsichtliches Prüfungsprogramm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(1) Die Bundesanstalt kommt dem Titel VII der Richtlinie 2013/36/EU in der Fassung vom 27. November 2024 für die Zwecke der Beaufsichtigung von CRD-Drittstaatenzweigstellen nach.</w:t>
      </w:r>
    </w:p>
    <w:p>
      <w:r>
        <w:t xml:space="preserve">(2) Sie nimmt CRD-Drittstaatenzweigstellen in ihre Aufsichtsplanung auf.</w:t>
      </w:r>
    </w:p>
    <w:p>
      <w:r>
        <w:rPr>
          <w:color w:val="555555"/>
          <w:sz w:val="17"/>
        </w:rPr>
        <w:t xml:space="preserve">Zitiervorschlag: § 53cm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https://recht.nulegal.eu/gesetze/KredWG/53cm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