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53cl KredWG — Häufigkeit der Meldung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10.04.2026 (konsolidierte Textfassung, kein amtliches Inkrafttretensdatum)</w:t>
      </w:r>
    </w:p>
    <w:p>
      <w:r>
        <w:t xml:space="preserve">(1) Die Meldepflichten nach § 53ck Absatz 3 müssen in einem angemessenen Verhältnis zur Einstufung der CRD-Drittstaatenzweigstelle in die Risikoklasse 1 oder 2 stehen.</w:t>
      </w:r>
    </w:p>
    <w:p>
      <w:r>
        <w:t xml:space="preserve">(2) Die in § 53ck genannten regulatorischen und finanziellen Informationen sind von CRD-Drittstaatenzweigstellen der Risikoklasse 1 mindestens halbjährlich und von den CRD-Drittstaatenzweigstellen der Risikoklasse 2 mindestens jährlich nach Maßgabe der technischen Durchführungsstandards auf der Grundlage des Artikels 48l Absatz 1 der Richtlinie 2013/36/EU in der Fassung vom 27. November 2024 zu melden.</w:t>
      </w:r>
    </w:p>
    <w:p>
      <w:r>
        <w:t xml:space="preserve">(3) Die Bundesanstalt kann qualifizierte CRD-Drittstaatenzweigstellen nach § 53cb ganz oder teilweise von der Pflicht zur Meldung von Informationen über das Kopfunternehmen nach § 53ck Absatz 2 befreien, sofern sie die einschlägigen Informationen direkt von den Aufsichtsbehörden des betreffenden Drittstaates erhalten kann.</w:t>
      </w:r>
    </w:p>
    <w:p>
      <w:r>
        <w:rPr>
          <w:color w:val="555555"/>
          <w:sz w:val="17"/>
        </w:rPr>
        <w:t xml:space="preserve">Zitiervorschlag: § 53cl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https://recht.nulegal.eu/gesetze/KredWG/53cl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