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53ck KredWG — Meldepflichten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CRD-Drittstaatenzweigstellen haben der Deutschen Bundesbank Folgendes zu übermitteln:</w:t>
      </w:r>
    </w:p>
    <w:p>
      <w:pPr>
        <w:ind w:left="420"/>
      </w:pPr>
      <w:r>
        <w:t xml:space="preserve">1. Angaben zu den von der CRD-Drittstaatenzweigstelle im Einklang mit § 53ch verbuchten und von der CRD-Drittstaatenzweigstelle initiierten Vermögenswerten und Verbindlichkeiten, aufgeschlüsselt nach</w:t>
      </w:r>
    </w:p>
    <w:p>
      <w:pPr>
        <w:ind w:left="780"/>
      </w:pPr>
      <w:r>
        <w:t xml:space="preserve">a) den größten erfassten Vermögenswerten und Verbindlichkeiten, aufgeschlüsselt nach Sektor und Art der Gegenpartei, insbesondere Risikopositionen der Finanzbranche;</w:t>
      </w:r>
    </w:p>
    <w:p>
      <w:pPr>
        <w:ind w:left="780"/>
      </w:pPr>
      <w:r>
        <w:t xml:space="preserve">b) signifikanten Konzentrationen von Risikopositionen und Finanzierungsquellen in Bezug auf bestimmte Arten von Gegenparteien und</w:t>
      </w:r>
    </w:p>
    <w:p>
      <w:pPr>
        <w:ind w:left="780"/>
      </w:pPr>
      <w:r>
        <w:t xml:space="preserve">c) bedeutenden internen Transaktionen mit dem Kopfunternehmen und Mitgliedern der Gruppe des Kopfunternehmens;</w:t>
      </w:r>
    </w:p>
    <w:p>
      <w:pPr>
        <w:ind w:left="420"/>
      </w:pPr>
      <w:r>
        <w:t xml:space="preserve">2. Angaben zur Einhaltung der Anforderungen, die gemäß diesem Gesetz für CRD-Drittstaatenzweigstellen gelten oder ihnen auf Grundlage dieses Gesetzes auferlegt wurden,</w:t>
      </w:r>
    </w:p>
    <w:p>
      <w:pPr>
        <w:ind w:left="420"/>
      </w:pPr>
      <w:r>
        <w:t xml:space="preserve">3. Angaben auf Ad-hoc-Basis zu den Einlagensicherungssystemen, die Einlegern der CRD-Drittstaatenzweigstelle im Einklang mit Artikel 15 Absatz 2 und 3 der Richtlinie 2014/49/EU in der Fassung vom 16. April 2014 zur Verfügung stehen, und</w:t>
      </w:r>
    </w:p>
    <w:p>
      <w:pPr>
        <w:ind w:left="420"/>
      </w:pPr>
      <w:r>
        <w:t xml:space="preserve">4. Angaben zu zusätzlichen regulatorischen Anforderungen, die den CRD-Drittstaatenzweigstellen nach diesem Gesetz auferlegt werden.</w:t>
      </w:r>
    </w:p>
    <w:p>
      <w:r>
        <w:t xml:space="preserve">Für die Zwecke der Meldung der Informationen über die nach Satz 1 Nummer 1 verbuchten Vermögenswerte und Verbindlichkeiten wenden CRD-Drittstaatenzweigstellen die Vorschriften des Dritten Buches des Handelsgesetzbuchs an.</w:t>
      </w:r>
    </w:p>
    <w:p>
      <w:r>
        <w:t xml:space="preserve">(2) Zu ihrem Kopfunternehmen haben CRD-Drittstaatenzweigstellen die folgenden Angaben zu übermitteln:</w:t>
      </w:r>
    </w:p>
    <w:p>
      <w:pPr>
        <w:ind w:left="420"/>
      </w:pPr>
      <w:r>
        <w:t xml:space="preserve">1. in regelmäßigen Abständen aggregierte Informationen über die Vermögenswerte und Verbindlichkeiten, die von den Tochterunternehmen und anderen CRD-Drittstaatenzweigstellen der Drittstaatengruppe im Europäischen Wirtschaftsraum gehalten oder verbucht werden,</w:t>
      </w:r>
    </w:p>
    <w:p>
      <w:pPr>
        <w:ind w:left="420"/>
      </w:pPr>
      <w:r>
        <w:t xml:space="preserve">2. in regelmäßigen Abständen Informationen zur Einhaltung der geltenden Aufsichtsanforderungen auf Einzelbasis und konsolidierter Basis durch das Kopfunternehmen,</w:t>
      </w:r>
    </w:p>
    <w:p>
      <w:pPr>
        <w:ind w:left="420"/>
      </w:pPr>
      <w:r>
        <w:t xml:space="preserve">3. auf Ad-hoc-Basis Informationen zu wesentlichen aufsichtlichen Überprüfungen und Bewertungen des Kopfunternehmens und zu einschlägigen Aufsichtsentscheidungen,</w:t>
      </w:r>
    </w:p>
    <w:p>
      <w:pPr>
        <w:ind w:left="420"/>
      </w:pPr>
      <w:r>
        <w:t xml:space="preserve">4. die Sanierungspläne des Kopfunternehmens und die spezifischen Maßnahmen, die im Einklang mit diesen Plänen in Bezug auf die CRD-Drittstaatenzweigstellen ergriffen werden könnten, sowie alle nachfolgenden Aktualisierungen und Änderungen dieser Pläne,</w:t>
      </w:r>
    </w:p>
    <w:p>
      <w:pPr>
        <w:ind w:left="420"/>
      </w:pPr>
      <w:r>
        <w:t xml:space="preserve">5. die Geschäftsstrategie des Kopfunternehmens in Bezug auf die CRD-Drittstaatenzweigstellen und alle nachfolgenden Änderungen dieser Strategie sowie</w:t>
      </w:r>
    </w:p>
    <w:p>
      <w:pPr>
        <w:ind w:left="420"/>
      </w:pPr>
      <w:r>
        <w:t xml:space="preserve">6. die Dienstleistungen, die das Kopfunternehmen auf ausschließliche Veranlassung von Kunden oder Gegenparteien erbringt, die im Europäischen Wirtschaftsraum ansässig oder niedergelassen sind.</w:t>
      </w:r>
    </w:p>
    <w:p>
      <w:r>
        <w:t xml:space="preserve">(3) Die Bundesanstalt und die Deutsche Bundesbank können CRD-Drittstaatenzweigstellen zusätzliche Meldepflichten auferlegen, wenn sie die zusätzlichen Informationen für erforderlich halten, um einen umfassenden Überblick über die Geschäfte, Tätigkeiten oder die finanzielle Solidität der CRD-Drittstaatenzweigstellen oder ihres Kopfunternehmens zu erhalten oder um die Einhaltung der geltenden Rechtsvorschriften durch die CRD-Drittstaatenzweigstellen und das Kopfunternehmen zu überprüfen und sicherzustellen, dass die CRD-Drittstaatenzweigstellen diese Rechtsvorschriften einhalten.</w:t>
      </w:r>
    </w:p>
    <w:p>
      <w:r>
        <w:rPr>
          <w:color w:val="555555"/>
          <w:sz w:val="17"/>
        </w:rPr>
        <w:t xml:space="preserve">Zitiervorschlag: § 53ck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