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53cj KredWG — Bewertung der Systemrelevanz</w:t>
      </w:r>
    </w:p>
    <w:p>
      <w:r>
        <w:rPr>
          <w:color w:val="555555"/>
          <w:sz w:val="18"/>
        </w:rPr>
        <w:t xml:space="preserve">Kreditwesengesetz</w:t>
      </w:r>
    </w:p>
    <w:p>
      <w:r>
        <w:rPr>
          <w:color w:val="555555"/>
          <w:sz w:val="18"/>
        </w:rPr>
        <w:t xml:space="preserve">Stand: 10.04.2026 (konsolidierte Textfassung, kein amtliches Inkrafttretensdatum)</w:t>
      </w:r>
    </w:p>
    <w:p>
      <w:r>
        <w:t xml:space="preserve">(1) CRD-Drittstaatenzweigstellen sind einer Beurteilung nach Absatz 2 zu unterziehen, wenn der Gesamtbetrag aller Vermögenswerte, die durch CRD-Drittstaatenzweigstellen derselben Drittstaatengruppe in der Europäischen Union gehalten werden, 40 Milliarden Euro erreicht oder überschreitet, und zwar bei Zugrundelegung entweder</w:t>
      </w:r>
    </w:p>
    <w:p>
      <w:pPr>
        <w:ind w:left="420"/>
      </w:pPr>
      <w:r>
        <w:t xml:space="preserve">1. des Durchschnitts der drei unmittelbar vorangegangenen jährlichen Berichtszeiträume oder</w:t>
      </w:r>
    </w:p>
    <w:p>
      <w:pPr>
        <w:ind w:left="420"/>
      </w:pPr>
      <w:r>
        <w:t xml:space="preserve">2. der absoluten Zahlen in mindestens drei der fünf unmittelbar vorangegangenen jährlichen Berichtszeiträume.</w:t>
      </w:r>
    </w:p>
    <w:p>
      <w:r>
        <w:t xml:space="preserve">Vermögenswerte, die von der CRD-Drittstaatenzweigstelle im Zusammenhang mit Zentralbankmarktgeschäften mit Zentralbanken des Europäischen Systems der Zentralbanken gehalten werden, bleiben bei der Berechnung außer Betracht.</w:t>
      </w:r>
    </w:p>
    <w:p>
      <w:r>
        <w:t xml:space="preserve">(2) Im Fall des Absatzes 1 bewertet die Bundesanstalt, ob die betreffende im Inland beaufsichtigte CRD-Drittstaatenzweigstelle systemrelevant und mit signifikanten Risiken für die Finanzstabilität der Europäischen Union oder der Bundesrepublik Deutschland verbunden ist. Hierzu berücksichtigt die Bundesanstalt, ob bei der betreffenden CRD-Drittstaatenzweigstelle die in den §§ 53ci und 10g Absatz 2 genannten Indikatoren für die Systemrelevanz erfüllt sind.</w:t>
      </w:r>
    </w:p>
    <w:p>
      <w:r>
        <w:t xml:space="preserve">(3) Die Bundesanstalt konsultiert im Rahmen der Bewertung nach Absatz 2 die Europäische Bankenaufsichtsbehörde und die Deutsche Bundesbank. Die Bundesanstalt konsultiert ferner die zuständigen Aufsichtsbehörden der Mitgliedstaaten, in denen die betreffende Drittstaatengruppe andere CRD-Drittstaatenzweigstellen oder Tochterinstitute eingerichtet hat, um die Risiken für die Finanzstabilität zu bewerten, die die im Inland beaufsichtigte CRD-Drittstaatenzweigstelle für die anderen betreffenden Mitgliedstaaten birgt. Die Bundesanstalt übermittelt der Europäischen Bankenaufsichtsbehörde, der Deutschen Bundesbank sowie den Aufsichtsbehörden nach Satz 2 ihre begründete Bewertung der Systemrelevanz nach Absatz 2. Stimmen die Aufsichtsbehörden nach Satz 2 der Bewertung nicht zu, bemüht sich die Bundesanstalt mit Unterstützung der Europäischen Bankenaufsichtsbehörde, spätestens drei Monate nach dem Tag, an dem die Aufsichtsbehörden nach Satz 2 Einwände erhoben haben, einen Konsens über die Bewertung nach Absatz 2 und etwaige gezielte Anforderungen nach Absatz 4 zu erzielen. Nach Ablauf dieser Frist entscheidet die Bundesanstalt abschließend über die Bewertung der Systemrelevanz der betreffenden CRD-Drittstaatenzweigstelle im Inland und über etwaige gezielte Anforderungen nach Absatz 4.</w:t>
      </w:r>
    </w:p>
    <w:p>
      <w:r>
        <w:t xml:space="preserve">(4) Sofern dies zur Bewältigung der festgestellten Risiken angemessen ist, kann die Bundesanstalt die betreffende CRD-Drittstaatenzweigstelle im Inland gezielten Anforderungen unterwerfen, insbesondere kann sie</w:t>
      </w:r>
    </w:p>
    <w:p>
      <w:pPr>
        <w:ind w:left="420"/>
      </w:pPr>
      <w:r>
        <w:t xml:space="preserve">1. die CRD-Drittstaatenzweigstelle auffordern, ihre Vermögenswerte oder Tätigkeiten so umzustrukturieren, dass sie nicht mehr systemrelevant im Sinne von Absatz 2 ist oder dass sie für die Finanzstabilität der Europäischen Union oder die Bundesrepublik Deutschland kein unangemessenes Risiko mehr darstellt, und</w:t>
      </w:r>
    </w:p>
    <w:p>
      <w:pPr>
        <w:ind w:left="420"/>
      </w:pPr>
      <w:r>
        <w:t xml:space="preserve">2. der CRD-Drittstaatenzweigstelle zusätzliche Aufsichtsanforderungen auferlegen.</w:t>
      </w:r>
    </w:p>
    <w:p>
      <w:r>
        <w:t xml:space="preserve">Ist die Bundesanstalt der Auffassung, dass eine CRD-Drittstaatenzweigstelle systemrelevante Bedeutung hat, beschließt sie aber dennoch, keine der Befugnisse nach Satz 1 Nummer 1 oder nach § 53ci auszuüben, so übermittelt sie der Europäischen Bankenaufsichtsbehörde, der Deutschen Bundesbank sowie den Aufsichtsbehörden nach Absatz 3 Satz 2 eine begründete Mitteilung ihrer Entscheidung.</w:t>
      </w:r>
    </w:p>
    <w:p>
      <w:r>
        <w:t xml:space="preserve">(5) Wird die Bundesanstalt von einer ausländischen zuständigen Aufsichtsbehörde in Entsprechung zu Absatz 3 zur Bewertung einer ausländischen CRD-Drittstaatenzweigstelle konsultiert und stimmt die Bundesanstalt der Bewertung nicht zu, so unterrichtet sie die ausländische zuständige Aufsichtsbehörde innerhalb von zehn Arbeitstagen ab dem Tag des Eingangs der Bewertung hierüber. Die Bundesanstalt bemüht sich mit Unterstützung der Europäischen Bankenaufsichtsbehörde, einen Konsens über die Bewertung und etwaige gezielte Anforderungen nach Artikel 48j Absatz 4 der Richtlinie 2013/36/EU in der Fassung vom 27. November 2024 zu erzielen. Nach Ablauf dieser Frist entscheidet die ausländische zuständige Aufsichtsbehörde abschließend über die Bewertung der Systemrelevanz der ausländischen CRD-Drittstaatenzweigstelle und über etwaige gezielte Anforderungen nach Artikel 48j Absatz 4 der Richtlinie 2013/36/EU in der Fassung vom 27. November 2024.</w:t>
      </w:r>
    </w:p>
    <w:p>
      <w:r>
        <w:rPr>
          <w:color w:val="555555"/>
          <w:sz w:val="17"/>
        </w:rPr>
        <w:t xml:space="preserve">Zitiervorschlag: § 53cj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https://recht.nulegal.eu/gesetze/KredWG/53cj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