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53ch KredWG — Buchungs- und Rechnungslegungsvorschriften</w:t>
      </w:r>
    </w:p>
    <w:p>
      <w:r>
        <w:rPr>
          <w:color w:val="555555"/>
          <w:sz w:val="18"/>
        </w:rPr>
        <w:t xml:space="preserve">Kreditwesengesetz</w:t>
      </w:r>
    </w:p>
    <w:p>
      <w:r>
        <w:rPr>
          <w:color w:val="555555"/>
          <w:sz w:val="18"/>
        </w:rPr>
        <w:t xml:space="preserve">Stand: 10.04.2026 (konsolidierte Textfassung, kein amtliches Inkrafttretensdatum)</w:t>
      </w:r>
    </w:p>
    <w:p>
      <w:r>
        <w:t xml:space="preserve">(1) Eine CRD-Drittstaatenzweigstelle ist verpflichtet, im Einklang mit den nach Artikel 48h Absatz 4 der Richtlinie 2013/36/EU in der Fassung vom 27. November 2024 erlassenen technischen Regulierungsstandards über die von ihr betriebenen Geschäfte und über das ihrem Geschäftsbetrieb dienende Vermögen des Unternehmens gesondert Buch zu führen und gegenüber der Bundesanstalt und der Deutschen Bundesbank Rechnung zu legen. Die Vorschriften des Dritten Buches des Handelsgesetzbuchs über Handelsbücher gelten insoweit entsprechend. Auf der Passivseite der jährlichen Vermögensübersicht ist der Betrag des der CRD-Drittstaatenzweigstelle von dem Kopfunternehmen zur Verfügung gestellten Betriebskapitals und der Betrag der der CRD-Drittstaatenzweigstelle zur Verstärkung der eigenen Mittel belassenen Betriebsüberschüsse gesondert auszuweisen. Der Überschuss der Passivposten über die Aktivposten oder der Überschuss der Aktivposten über die Passivposten ist am Schluss der Vermögensübersicht ungeteilt und gesondert auszuweisen.</w:t>
      </w:r>
    </w:p>
    <w:p>
      <w:r>
        <w:t xml:space="preserve">(2) Die nach Absatz 1 für den Schluss eines jeden Geschäftsjahres aufzustellende Vermögensübersicht mit einer Aufwands- und Ertragsrechnung und einem Anhang gilt als Jahresabschluss nach § 26. Für die Prüfung des Jahresabschlusses gilt § 340k des Handelsgesetzbuchs entsprechend mit der Maßgabe, dass der Prüfer von den Geschäftsleitern gewählt und bestellt wird. Mit dem Jahresabschluss der CRD-Drittstaatenzweigstelle ist der Jahresabschluss des Kopfunternehmens für das gleiche Geschäftsjahr einzureichen.</w:t>
      </w:r>
    </w:p>
    <w:p>
      <w:r>
        <w:rPr>
          <w:color w:val="555555"/>
          <w:sz w:val="17"/>
        </w:rPr>
        <w:t xml:space="preserve">Zitiervorschlag: § 53ch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https://recht.nulegal.eu/gesetze/KredWG/53ch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