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53cg KredWG — Interne Unternehmensführung und Risikomanagement</w:t>
      </w:r>
    </w:p>
    <w:p>
      <w:r>
        <w:rPr>
          <w:color w:val="555555"/>
          <w:sz w:val="18"/>
        </w:rPr>
        <w:t xml:space="preserve">Kreditwesengesetz</w:t>
      </w:r>
    </w:p>
    <w:p>
      <w:r>
        <w:rPr>
          <w:color w:val="555555"/>
          <w:sz w:val="18"/>
        </w:rPr>
        <w:t xml:space="preserve">Stand: 10.04.2026 (konsolidierte Textfassung, kein amtliches Inkrafttretensdatum)</w:t>
      </w:r>
    </w:p>
    <w:p>
      <w:r>
        <w:t xml:space="preserve">(1) CRD-Drittstaatenzweigstellen haben zwei natürliche Personen mit Wohnsitz im Inland zu bestellen, die für den Geschäftsbereich der CRD-Drittstaatenzweigstelle zur Geschäftsführung und zur Vertretung des Unternehmens befugt sind. Solche Personen gelten als Geschäftsleiter. Sie sind zur Eintragung in das Handelsregister anzumelden.</w:t>
      </w:r>
    </w:p>
    <w:p>
      <w:r>
        <w:t xml:space="preserve">(2) CRD-Drittstaatenzweigstellen der Risikoklasse 1 haben folgende Anforderungen einzuhalten:</w:t>
      </w:r>
    </w:p>
    <w:p>
      <w:pPr>
        <w:ind w:left="420"/>
      </w:pPr>
      <w:r>
        <w:t xml:space="preserve">1. § 24 Absatz 1 Nummer 1, 2, 14 bis 14b sowie Absatz 1a Nummer 3, 5 und 6, Absatz 1c und 1d in Verbindung mit der Rechtsverordnung gemäß § 24 Absatz 4;</w:t>
      </w:r>
    </w:p>
    <w:p>
      <w:pPr>
        <w:ind w:left="420"/>
      </w:pPr>
      <w:r>
        <w:t xml:space="preserve">2. die §§ 18a, 24c, 25a Absatz 1, mit Ausnahme des Satzes 3 Nummer 2, Absatz 5 bis 5c in Verbindung mit der Rechtsverordnung gemäß Absatz 6, die §§ 25b, 25c Absatz 1, 3 und 4a, die §§ 25g bis 25k und 25m sowie § 26c Absatz 1 Satz 1 Nummer 2 bis 6 und Absatz 4 sowie</w:t>
      </w:r>
    </w:p>
    <w:p>
      <w:pPr>
        <w:ind w:left="420"/>
      </w:pPr>
      <w:r>
        <w:t xml:space="preserve">3. § 25d Absatz 5 sowie Absatz 7 und 12 Satz 1 im Hinblick auf die Bestellung eines Vergütungskontrollausschusses nach Maßgabe des dortigen Absatzes 7 Satz 1, mit der Maßgabe, dass das Verwaltungs- oder Aufsichtsorgan des Kopfunternehmens als Verwaltungs- oder Aufsichtsorgan der CRD-Drittstaatenzweigstelle gilt.</w:t>
      </w:r>
    </w:p>
    <w:p>
      <w:r>
        <w:t xml:space="preserve">Die Bundesanstalt kann von der CRD-Drittstaatenzweigstelle der Risikoklasse 1 verlangen, einen Leitungsausschuss im Inland einzurichten, der eine angemessene Unternehmensführung der CRD-Drittstaatenzweigstelle sicherstellt.</w:t>
      </w:r>
    </w:p>
    <w:p>
      <w:r>
        <w:t xml:space="preserve">(3) CRD-Drittstaatenzweigstellen der Risikoklasse 2 haben die Anforderungen gemäß Absatz 2 Nummer 1 bis 3 mit Ausnahme des § 25c Absatz 4a Satz 1 Nummer 3 Buchstabe i einzuhalten. Sie können zudem die Risikocontrolling-Funktion und Compliance-Funktion mit anderen Funktionen oder Geschäftsbereichen zusammenlegen, sofern sich hieraus keine wesentlichen Interessenkonflikte ergeben. Abweichend von Satz 1 und 2 haben CRD-Drittstaatenzweigstellen der Risikoklasse 2 die Anforderungen nach Absatz 2 Nummer 1 bis 3 vollständig einzuhalten, wenn die Bundesanstalt dies von der CRD-Drittstaatenzweigstelle in Abhängigkeit von deren Größe und internen Organisation sowie Art, Umfang und Komplexität ihrer Tätigkeiten verlangt.</w:t>
      </w:r>
    </w:p>
    <w:p>
      <w:r>
        <w:t xml:space="preserve">(4) CRD-Drittstaatenzweigstellen haben Berichterstattungspflichten gegenüber dem Leitungsorgan des Kopfunternehmens festzulegen, die alle wesentlichen Risiken und Risikomanagementrichtlinien sowie deren Änderungen abdecken, ferner angemessene Informations- und Kommunikationstechnologiesysteme vorzuhalten und Kontrollen durchzuführen, um eine ordnungsgemäße Einhaltung dieser Richtlinien sicherzustellen. CRD-Drittstaatenzweigstellen haben die Vorgaben des Artikel 16 der Verordnung (EU) 2022/2554 in der Fassung vom 14. Dezember 2022 (Vereinfachter IKT-Risikomanagementrahmen) anzuwenden.</w:t>
      </w:r>
    </w:p>
    <w:p>
      <w:r>
        <w:t xml:space="preserve">(5) CRD-Drittstaatenzweigstellen haben ihre Auslagerungsvereinbarungen zu überwachen, zu verwalten und sicherzustellen, dass die Bundesanstalt und die Deutsche Bundesbank uneingeschränkten Zugang zu allen Informationen haben, die sie zur Ausübung ihrer Aufsichtsfunktion benötigen.</w:t>
      </w:r>
    </w:p>
    <w:p>
      <w:r>
        <w:t xml:space="preserve">(6) CRD-Drittstaatenzweigstellen, die Back-to-back-Geschäfte oder gruppeninterne Geschäfte tätigen, haben angemessene Ressourcen vorzuhalten, um ihr Gegenparteiausfallrisiko zu ermitteln und angemessen zu steuern, wenn wesentliche Risiken im Zusammenhang mit von den CRD-Drittstaatenzweigstellen gebuchten Vermögenswerten auf eine Gegenpartei übertragen werden.</w:t>
      </w:r>
    </w:p>
    <w:p>
      <w:r>
        <w:t xml:space="preserve">(7) Nimmt das Kopfunternehmen kritische oder wichtige Funktionen der CRD-Drittstaatenzweigstellen wahr, so hat es diese Funktionen im Einklang mit Regelungen der CRD-Drittstaatenzweigstelle oder gruppeninternen Regelungen wahrzunehmen. Der Bundesanstalt und der Deutschen Bundesbank ist Zugang zu allen Informationen zu gewähren, die sie zur Ausübung ihrer Aufsichtsfunktion benötigen.</w:t>
      </w:r>
    </w:p>
    <w:p>
      <w:r>
        <w:t xml:space="preserve">(8) Die Umsetzung und die laufende Einhaltung der Anforderungen der Absätze 1 und 4 bis 7 und der in den Absätzen 2 und 3 genannten Vorschriften sind jährlich durch einen Jahresabschlussprüfer im Rahmen der Jahresabschlussprüfung nach § 53ch Absatz 2 zu bewerten. Dieser hat der Bundesanstalt und der Deutschen Bundesbank einen Bericht mit seinen Feststellungen und Schlussfolgerungen vorzulegen. Für die Jahresabschlussprüfung gelten die §§ 26, 28 und 29 in Verbindung mit der Rechtsverordnung nach § 29 Absatz 4 entsprechend.</w:t>
      </w:r>
    </w:p>
    <w:p>
      <w:r>
        <w:rPr>
          <w:color w:val="555555"/>
          <w:sz w:val="17"/>
        </w:rPr>
        <w:t xml:space="preserve">Zitiervorschlag: § 53cg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