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53cf KredWG — Liquiditätsanforderungen</w:t>
      </w:r>
    </w:p>
    <w:p>
      <w:r>
        <w:rPr>
          <w:color w:val="555555"/>
          <w:sz w:val="18"/>
        </w:rPr>
        <w:t xml:space="preserve">Kreditwesengesetz</w:t>
      </w:r>
    </w:p>
    <w:p>
      <w:r>
        <w:rPr>
          <w:color w:val="555555"/>
          <w:sz w:val="18"/>
        </w:rPr>
        <w:t xml:space="preserve">Stand: 10.04.2026 (konsolidierte Textfassung, kein amtliches Inkrafttretensdatum)</w:t>
      </w:r>
    </w:p>
    <w:p>
      <w:r>
        <w:t xml:space="preserve">(1) Für CRD-Drittstaatenzweigstellen der Risikoklasse 1 gelten die Liquiditätsanforderungen nach Teil 6 Titel I der Verordnung (EU) Nr. 575/2013 in der Fassung vom 17. Juni 2025 und der Delegierten Verordnung (EU) 2015/61 in der Fassung vom 10. Februar 2022.</w:t>
      </w:r>
    </w:p>
    <w:p>
      <w:r>
        <w:t xml:space="preserve">(2) CRD-Drittstaatenzweigstellen der Risikoklasse 2 halten jederzeit unbelastete liquide Aktiva in einem Volumen vor, das ausreicht, Liquiditätsabflüsse über einen Zeitraum von mindestens 30 Tagen zu decken. Die liquiden Aktiva sind dazu auf einem Konto bei der Bundesbank oder bei einem CRR-Kreditinstitut im Inland, das nicht Teil der Gruppe des Kopfunternehmens ist, zu hinterlegen.</w:t>
      </w:r>
    </w:p>
    <w:p>
      <w:r>
        <w:t xml:space="preserve">(3) Verbleiben nach der Verwendung zur Deckung von Liquiditätsabflüssen noch liquide Aktiva, so müssen diese für die Zwecke der Liquidation der CRD-Drittstaatenzweigstelle und im Fall der Abwicklung der CRD-Drittstaatenzweigstelle für die Zwecke des § 171 des Sanierungs- und Abwicklungsgesetzes zur Verfügung stehen.</w:t>
      </w:r>
    </w:p>
    <w:p>
      <w:r>
        <w:t xml:space="preserve">(4) Die Bundesanstalt kann qualifizierte CRD-Drittstaatenzweigstellen im Sinne des § 53cb von der Liquiditätsanforderung nach dieser Vorschrift ausnehmen.</w:t>
      </w:r>
    </w:p>
    <w:p>
      <w:r>
        <w:rPr>
          <w:color w:val="555555"/>
          <w:sz w:val="17"/>
        </w:rPr>
        <w:t xml:space="preserve">Zitiervorschlag: § 53cf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