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53ca KredWG — Einstufung von CRD-Drittstaatenzweigstellen in Risikoklassen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Eine CRD-Drittstaatenzweigstelle gilt als CRD-Drittstaatenzweigstelle der Risikoklasse 1, sofern eine der folgenden Voraussetzungen erfüllt ist:</w:t>
      </w:r>
    </w:p>
    <w:p>
      <w:pPr>
        <w:ind w:left="420"/>
      </w:pPr>
      <w:r>
        <w:t xml:space="preserve">1. der Gesamtwert der von der CRD-Drittstaatenzweigstelle verbuchten oder initiierten Vermögenswerte im Inland beträgt laut Meldung für den unmittelbar vorangegangenen jährlichen Berichtszeitraum nach den §§ 53ck und 53cl mindestens 5 Milliarden Euro;</w:t>
      </w:r>
    </w:p>
    <w:p>
      <w:pPr>
        <w:ind w:left="420"/>
      </w:pPr>
      <w:r>
        <w:t xml:space="preserve">2. die zugelassenen Tätigkeiten der CRD-Drittstaatenzweigstelle umfassen die Entgegennahme von Einlagen oder anderen rückzahlbaren Geldern von Privatkunden im Sinne des § 67 Absatz 3 des Wertpapierhandelsgesetzes und der Betrag dieser Einlagen und anderen rückzahlbaren Gelder beträgt mindestens 5 Prozent der Gesamtverbindlichkeiten der Zweigstelle oder übersteigt 50 Millionen Euro oder</w:t>
      </w:r>
    </w:p>
    <w:p>
      <w:pPr>
        <w:ind w:left="420"/>
      </w:pPr>
      <w:r>
        <w:t xml:space="preserve">3. die CRD-Drittstaatenzweigstelle ist keine qualifizierte CRD-Drittstaatenzweigstelle nach § 53cb.</w:t>
      </w:r>
    </w:p>
    <w:p>
      <w:r>
        <w:t xml:space="preserve">(2) Erfüllt eine CRD-Drittstaatenzweigstelle keine der Voraussetzungen nach Absatz 1, gilt sie als CRD-Drittstaatenzweigstelle der Risikoklasse 2.</w:t>
      </w:r>
    </w:p>
    <w:p>
      <w:r>
        <w:t xml:space="preserve">(3) Erfüllt eine CRD-Drittstaatenzweigstelle der Risikoklasse 1 keine Voraussetzung nach Absatz 1 mehr, gilt sie unverzüglich als CRD-Drittstaatenzweigstelle der Risikoklasse 2. Erfüllt eine CRD-Drittstaatenzweigstelle der Risikoklasse 2 eine der Voraussetzungen nach Absatz 1, so gilt sie nach Ablauf von vier Monaten ab dem Datum, zu dem sie diese Voraussetzung erfüllt hat, als CRD-Drittstaatenzweigstelle der Risikoklasse 1.</w:t>
      </w:r>
    </w:p>
    <w:p>
      <w:r>
        <w:t xml:space="preserve">(4) Die CRD-Drittstaatenzweigstelle hat der Bundesanstalt und der Deutschen Bundesbank einen Umstand nach Absatz 3 Satz 1 oder Satz 2 unverzüglich anzuzeigen.</w:t>
      </w:r>
    </w:p>
    <w:p>
      <w:r>
        <w:rPr>
          <w:color w:val="555555"/>
          <w:sz w:val="17"/>
        </w:rPr>
        <w:t xml:space="preserve">Zitiervorschlag: § 53ca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https://recht.nulegal.eu/gesetze/KredWG/53ca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