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53b KredWG — Unternehmen mit Sitz in einem anderen Staat des Europäischen Wirtschaftsraums</w:t>
      </w:r>
    </w:p>
    <w:p>
      <w:r>
        <w:rPr>
          <w:color w:val="555555"/>
          <w:sz w:val="18"/>
        </w:rPr>
        <w:t xml:space="preserve">Kreditwesengesetz</w:t>
      </w:r>
    </w:p>
    <w:p>
      <w:r>
        <w:rPr>
          <w:color w:val="555555"/>
          <w:sz w:val="18"/>
        </w:rPr>
        <w:t xml:space="preserve">Stand: 01.04.2026 (konsolidierte Textfassung, kein amtliches Inkrafttretensdatum)</w:t>
      </w:r>
    </w:p>
    <w:p>
      <w:r>
        <w:t xml:space="preserve">(1) Ein CRR-Kreditinstitut mit Sitz in einem anderen Staat des Europäischen Wirtschaftsraums darf ohne Erlaubnis durch die Aufsichtsbehörde über eine Zweigniederlassung oder über gemäß § 2 Absatz 10 angezeigte vertraglich gebundene Vermittler, die ihren Sitz oder gewöhnlichen Aufenthalt im Inland haben, sowie im Wege des grenzüberschreitenden Dienstleistungsverkehrs, auch durch vertraglich gebundene Vermittler, die ihren Sitz oder gewöhnlichen Aufenthalt im Herkunftsmitgliedstaat haben, im Inland Bankgeschäfte betreiben oder Finanzdienstleistungen erbringen, wenn das Unternehmen von den zuständigen Stellen seines Herkunftsmitgliedstaates zugelassen worden ist, die Geschäfte von der Zulassung abgedeckt sind und das Unternehmen von den zuständigen Stellen nach Maßgabe der Richtlinien und Verordnungen der Europäischen Union beaufsichtigt wird. Satz 1 gilt entsprechend für CRR-Kreditinstitute, die auch Zahlungsdienste im Sinne des Zahlungsdiensteaufsichtsgesetzes erbringen. § 53 ist in diesem Fall nicht anzuwenden. § 14 der Gewerbeordnung bleibt unberührt.</w:t>
      </w:r>
    </w:p>
    <w:p>
      <w:r>
        <w:t xml:space="preserve">(1a) (weggefallen)</w:t>
      </w:r>
    </w:p>
    <w:p>
      <w:r>
        <w:t xml:space="preserve">(2) Vorbehaltlich der Regelungen in Teil II, Titel 3 der Verordnung (EU) Nr. 468/2014 hat die Bundesanstalt einem Unternehmen im Sinne des Absatzes 1 Satz 1 und 2, das beabsichtigt, eine Zweigniederlassung im Inland zu errichten, innerhalb von zwei Monaten nach Eingang der von den zuständigen Stellen des Herkunftsmitgliedstaates über die beabsichtigte Errichtung der Zweigniederlassung übermittelten Unterlagen auf die für seine Tätigkeit vorgeschriebenen Meldungen an die Bundesanstalt und die Deutsche Bundesbank hinzuweisen und die Bedingungen anzugeben, die nach Absatz 3 Satz 1 für die Ausübung der von der Zweigniederlassung geplanten Tätigkeiten aus Gründen des Allgemeininteresses gelten. Nach Eingang der Mitteilung der Aufsichtsbehörde, spätestens nach Ablauf der in Satz 1 genannten Frist, kann die Zweigniederlassung errichtet werden und ihre Tätigkeit aufnehmen. Die Europäische Wertpapier- und Marktaufsichtsbehörde kann nach dem Verfahren und unter den in Artikel 35 der Verordnung (EU) Nr. 1095/2010 festgelegten Bedingungen den Zugang zu diesen Informationen verlangen.</w:t>
      </w:r>
    </w:p>
    <w:p>
      <w:r>
        <w:t xml:space="preserve">(2a) Vorbehaltlich der Regelungen in Teil II, Titel 3 der Verordnung (EU) Nr. 468/2014 hat die Bundesanstalt einem Unternehmen im Sinne des Absatzes 1 Satz 1 und 2, das beabsichtigt, im Inland im Wege des grenzüberschreitenden Dienstleistungsverkehrs tätig zu werden, innerhalb von zwei Monaten nach Eingang der von den zuständigen Stellen des Herkunftsmitgliedstaates über die beabsichtigte Aufnahme des grenzüberschreitenden Dienstleistungsverkehrs übermittelten Unterlagen die Bedingungen anzugeben, die nach Absatz 3 Satz 2 für die Ausübung der geplanten Tätigkeiten aus Gründen des Allgemeininteresses gelten. Die Bundesanstalt veröffentlicht die Namen von vertraglich gebundenen Vermittlern, die ihren Sitz oder gewöhnlichen Aufenthalt im Herkunftsmitgliedstaat des Instituts haben und die das Institut im Inland heranziehen will, auf ihrer Internetseite, soweit die zuständigen Stellen des Herkunftsmitgliedstaates diese mitgeteilt haben.</w:t>
      </w:r>
    </w:p>
    <w:p>
      <w:r>
        <w:t xml:space="preserve">(3) Auf Zweigniederlassungen im Sinne des Absatzes 1 Satz 1 und 2 sind die folgenden Regelungen entsprechend anzuwenden mit der Maßgabe, dass eine oder mehrere Zweigniederlassungen desselben Unternehmens als ein Kreditinstitut oder Finanzdienstleistungsinstitut gelten:</w:t>
      </w:r>
    </w:p>
    <w:p>
      <w:pPr>
        <w:ind w:left="420"/>
      </w:pPr>
      <w:r>
        <w:t xml:space="preserve">1. § 3 Absatz 1 und § 6 Absatz 2,</w:t>
      </w:r>
    </w:p>
    <w:p>
      <w:pPr>
        <w:ind w:left="420"/>
      </w:pPr>
      <w:r>
        <w:t xml:space="preserve">1a. § 10 Absatz 2,</w:t>
      </w:r>
    </w:p>
    <w:p>
      <w:pPr>
        <w:ind w:left="420"/>
      </w:pPr>
      <w:r>
        <w:t xml:space="preserve">2. (weggefallen)</w:t>
      </w:r>
    </w:p>
    <w:p>
      <w:pPr>
        <w:ind w:left="420"/>
      </w:pPr>
      <w:r>
        <w:t xml:space="preserve">3. die §§ 14, 18a, 22 und 23,</w:t>
      </w:r>
    </w:p>
    <w:p>
      <w:pPr>
        <w:ind w:left="420"/>
      </w:pPr>
      <w:r>
        <w:t xml:space="preserve">4. § 23a, sofern es sich um ein CRR-Kreditinstitut handelt,</w:t>
      </w:r>
    </w:p>
    <w:p>
      <w:pPr>
        <w:ind w:left="420"/>
      </w:pPr>
      <w:r>
        <w:t xml:space="preserve">5. § 24 Absatz 1 Nummer 5 und 7,</w:t>
      </w:r>
    </w:p>
    <w:p>
      <w:pPr>
        <w:ind w:left="420"/>
      </w:pPr>
      <w:r>
        <w:t xml:space="preserve">6. die §§ 24b, 24c, 25 und 25a Absatz 1 Satz 6 Nummer 2,</w:t>
      </w:r>
    </w:p>
    <w:p>
      <w:pPr>
        <w:ind w:left="420"/>
      </w:pPr>
      <w:r>
        <w:t xml:space="preserve">7. § 25h Absatz 1 bis 3, soweit es sich um Anforderungen zur Verhinderung von Geldwäsche und Terrorismusfinanzierung handelt, sowie § 25h Absatz 4 und 5,</w:t>
      </w:r>
    </w:p>
    <w:p>
      <w:pPr>
        <w:ind w:left="420"/>
      </w:pPr>
      <w:r>
        <w:t xml:space="preserve">8. die §§ 25i bis 25k, 25m, 37, 39 bis 42, 43 Absatz 2 und 3, § 44 Absatz 1, 5, 6, 8 und 9, § 44a Absatz 1 und 2 sowie die §§ 44c, 46 bis 46h, 48u und 49,</w:t>
      </w:r>
    </w:p>
    <w:p>
      <w:pPr>
        <w:ind w:left="420"/>
      </w:pPr>
      <w:r>
        <w:t xml:space="preserve">9. § 17 des Finanzdienstleistungsaufsichtsgesetzes.</w:t>
      </w:r>
    </w:p>
    <w:p>
      <w:r>
        <w:t xml:space="preserve">Für die Tätigkeiten im Wege des grenzüberschreitenden Dienstleistungsverkehrs nach Absatz 1 Satz 1 und 2 gelten § 3 Absatz 1, sofern es sich um ein CRR-Kreditinstitut handelt, die §§ 18a, 23a, 37, 44 Absatz 1, 5, 6, 8 und 9 sowie die §§ 44c, 48u Absatz 1 und § 49 dieses Gesetzes und § 17 des Finanzdienstleistungsaufsichtsgesetzes entsprechend. Auf Betreiber eines multilateralen oder organisierten Handelssystems, die im Wege des grenzüberschreitenden Dienstleistungsverkehrs im Inland einen Zugang anbieten, ist § 23a nicht anzuwenden.</w:t>
      </w:r>
    </w:p>
    <w:p>
      <w:r>
        <w:t xml:space="preserve">(4) Stellt die Aufsichtsbehörde fest, dass ein Unternehmen im Sinne des Absatzes 1 Satz 1 und 2 seinen Pflichten nach Absatz 3 oder der Verordnung (EU) Nr. 575/2013 nicht nachkommt oder dass es sehr wahrscheinlich ist, dass es diesen Verpflichtungen nicht nachkommen wird, unterrichtet die Aufsichtsbehörde unverzüglich die zuständigen Stellen des Herkunftsmitgliedstaates. Ergreifen die zuständigen Stellen des Herkunftsmitgliedstaates keine Maßnahmen oder erachtet die Aufsichtsbehörde die Maßnahme auf Grundlage der ihr von den zuständigen Stellen des Herkunftsmitgliedstaates übermittelten Informationen und Erkenntnissen als unzureichend, kann sie nach Unterrichtung der zuständigen Stellen des Herkunftsmitgliedstaates und der Europäischen Bankenaufsichtsbehörde die erforderlichen Maßnahmen ergreifen. Erforderlichenfalls kann sie die Durchführung neuer Geschäfte im Inland untersagen. Sind die zuständigen Stellen des Herkunftsmitgliedstaates mit den zu ergreifenden Maßnahmen nicht einverstanden, können sie die Angelegenheit nach Maßgabe des Artikels 19 der Verordnung (EU) Nr. 1093/2010 an die Europäische Bankenaufsichtsbehörde verweisen und diese um Unterstützung bitten.</w:t>
      </w:r>
    </w:p>
    <w:p>
      <w:r>
        <w:t xml:space="preserve">(5) In dringenden Fällen kann die Aufsichtsbehörde vor Einleitung des in Absatz 4 vorgesehenen Verfahrens die erforderlichen Maßnahmen anordnen, sofern der Herkunftsmitgliedstaat keine Sanierungsmaßnahmen im Sinne des Artikels 2 der Richtlinie 2001/24/EG des Europäischen Parlaments und des Rates vom 4. April 2001 über die Sanierung und Liquidation der Kreditinstitute (ABl. L 125 vom 5.5.2001, S. 15) erlassen hat. Sie hat die Europäische Kommission, die Europäische Bankenaufsichtsbehörde und die zuständigen Stellen des Herkunftsmitgliedstaates unverzüglich hiervon zu unterrichten. Diese Maßnahmen sind aufzuheben, wenn</w:t>
      </w:r>
    </w:p>
    <w:p>
      <w:pPr>
        <w:ind w:left="420"/>
      </w:pPr>
      <w:r>
        <w:t xml:space="preserve">1. der Herkunftsmitgliedstaat eine Sanierungsmaßnahme im Sinne des Artikels 2 der Richtlinie 2001/24/EG angeordnet oder erlassen hat,</w:t>
      </w:r>
    </w:p>
    <w:p>
      <w:pPr>
        <w:ind w:left="420"/>
      </w:pPr>
      <w:r>
        <w:t xml:space="preserve">2. der Herkunftsmitgliedstaat die notwendigen Maßnahmen angeordnet oder ergriffen hat, damit das Unternehmen seinen Verpflichtungen nachkommt,</w:t>
      </w:r>
    </w:p>
    <w:p>
      <w:pPr>
        <w:ind w:left="420"/>
      </w:pPr>
      <w:r>
        <w:t xml:space="preserve">3. die Europäische Kommission nach Anhörung der Aufsichtsbehörde, des Herkunftsmitgliedstaates und der Europäischen Bankaufsichtsbehörde entschieden hat, dass die Maßnahmen nach Satz 1 aufzuheben sind oder</w:t>
      </w:r>
    </w:p>
    <w:p>
      <w:pPr>
        <w:ind w:left="420"/>
      </w:pPr>
      <w:r>
        <w:t xml:space="preserve">4. der Grund für ihre Anordnung entfallen ist.</w:t>
      </w:r>
    </w:p>
    <w:p>
      <w:r>
        <w:t xml:space="preserve">(6) Die zuständigen Stellen des Herkunftsmitgliedstaates können nach vorheriger Unterrichtung der Aufsichtsbehörde selbst oder durch ihre Beauftragten die für die bankaufsichtliche Überwachung der Zweigniederlassung erforderlichen Informationen bei der Zweigniederlassung prüfen.</w:t>
      </w:r>
    </w:p>
    <w:p>
      <w:r>
        <w:t xml:space="preserve">(7) Ein Unternehmen mit Sitz in einem anderen Staat des Europäischen Wirtschaftsraums, das Bankgeschäfte im Sinne des § 1 Absatz 1 Satz 2 Nummer 1 bis 3, 5, 7 bis 9 betreibt, Finanzdienstleistungen im Sinne des § 1 Absatz 1a Satz 2 Nummer 7, 9 und 10, oder Zahlungsdienste im Sinne des Zahlungsdiensteaufsichtsgesetzes erbringt oder sich als Finanzunternehmen im Sinne des § 1 Absatz 3 betätigt, kann diese Tätigkeiten über eine Zweigniederlassung oder im Wege des grenzüberschreitenden Dienstleistungsverkehrs im Inland abweichend von § 32 ohne Erlaubnis der Aufsichtsbehörde ausüben, wenn</w:t>
      </w:r>
    </w:p>
    <w:p>
      <w:pPr>
        <w:ind w:left="420"/>
      </w:pPr>
      <w:r>
        <w:t xml:space="preserve">1. das Unternehmen ein Tochterunternehmen eines CRR-Kreditinstituts oder ein gemeinsames Tochterunternehmen mehrere CRR-Kreditinstitute ist,</w:t>
      </w:r>
    </w:p>
    <w:p>
      <w:pPr>
        <w:ind w:left="420"/>
      </w:pPr>
      <w:r>
        <w:t xml:space="preserve">2. seine Satzung diese Tätigkeiten gestattet,</w:t>
      </w:r>
    </w:p>
    <w:p>
      <w:pPr>
        <w:ind w:left="420"/>
      </w:pPr>
      <w:r>
        <w:t xml:space="preserve">3. das oder die Mutterunternehmen in dem Staat, in dem das Unternehmen seinen Sitz hat, als CRR-Kreditinstitut zugelassen sind,</w:t>
      </w:r>
    </w:p>
    <w:p>
      <w:pPr>
        <w:ind w:left="420"/>
      </w:pPr>
      <w:r>
        <w:t xml:space="preserve">4. die Tätigkeiten, die das Unternehmen ausübt, auch im Herkunftsmitgliedstaat betrieben werden,</w:t>
      </w:r>
    </w:p>
    <w:p>
      <w:pPr>
        <w:ind w:left="420"/>
      </w:pPr>
      <w:r>
        <w:t xml:space="preserve">5. das oder die Mutterunternehmen mindestens 90 vom Hundert der Stimmrechte des Tochterunternehmens halten,</w:t>
      </w:r>
    </w:p>
    <w:p>
      <w:pPr>
        <w:ind w:left="420"/>
      </w:pPr>
      <w:r>
        <w:t xml:space="preserve">6. das oder die Mutterunternehmen gegenüber den zuständigen Stellen des Herkunftsmitgliedstaates des Unternehmens die umsichtige Geschäftsführung des Unternehmens glaubhaft gemacht und sich mit Zustimmung dieser zuständigen Stellen des Herkunftsmitgliedstaates gegebenenfalls gesamtschuldnerisch für die vom Tochterunternehmen eingegangenen Verpflichtungen verbürgt haben und</w:t>
      </w:r>
    </w:p>
    <w:p>
      <w:pPr>
        <w:ind w:left="420"/>
      </w:pPr>
      <w:r>
        <w:t xml:space="preserve">7. das Unternehmen in die Beaufsichtigung des Mutterunternehmens auf konsolidierter Basis einbezogen ist.</w:t>
      </w:r>
    </w:p>
    <w:p>
      <w:r>
        <w:t xml:space="preserve">Satz 1 gilt entsprechend für Tochterunternehmen von in Satz 1 genannten Unternehmen, Finanzholding-Gesellschaften, gemischten Finanzholding-Gesellschaften und gemischten Holdinggesellschaften, welche die vorgenannten Bedingungen erfüllen. Die Absätze 2 bis 6 gelten entsprechend.</w:t>
      </w:r>
    </w:p>
    <w:p>
      <w:r>
        <w:t xml:space="preserve">(7a) Ergreift die Aufsichtsbehörde Maßnahmen nach Absatz 4 oder Absatz 5, jeweils auch in Verbindung mit Absatz 7, sind diese schriftlich zu begründen und dem Institut bekanntzumachen.</w:t>
      </w:r>
    </w:p>
    <w:p>
      <w:r>
        <w:t xml:space="preserve">(7b) Ein CRR-Kreditinstitut mit Sitz in einem anderen Staat des Europäischen Wirtschaftsraums kann über eine Zweigniederlassung im Inland im Rahmen eines Auftrags als Verwahrstelle nach § 68 Absatz 2 und 3 Satz 3 des Kapitalanlagegesetzbuches oder § 80 Absatz 2 Nummer 1 und Absatz 6 Satz 1 des Kapitalanlagegesetzbuches die Tätigkeit der Kryptowertpapierregisterführung nach § 1 Absatz 1a Satz 2 Nummer 8 abweichend von § 32 ohne Erlaubnis der Aufsichtsbehörde ausüben, wenn die Zweigniederlassung das Kryptowertpapierregister ausschließlich für Anteile oder Aktien an Investmentvermögen führt, für die sie als Verwahrstelle beauftragt wurde.</w:t>
      </w:r>
    </w:p>
    <w:p>
      <w:r>
        <w:t xml:space="preserve">(8) Die Bundesanstalt kann beantragen, dass eine inländische Zweigniederlassung eines Instituts mit Sitz in einem anderen Staat des Europäischen Wirtschaftsraums als bedeutend angesehen wird. Gehört das Institut einer Institutsgruppe, Finanzholding-Gruppe oder gemischten Finanzholding-Gruppe an, an deren Spitze ein EU-Mutterinstitut, eine EU-Mutterfinanzholding-Gesellschaft oder eine gemischte EU-Mutterfinanzholding-Gesellschaft steht, richtet die Bundesanstalt den Antrag an die für die Beaufsichtigung der Gruppe auf zusammengefasster Basis zuständige Stelle, anderenfalls an die zuständige Stelle des Herkunftsmitgliedstaates. Der Antrag ist zu begründen. Eine Zweigniederlassung ist insbesondere dann als bedeutend anzusehen, wenn</w:t>
      </w:r>
    </w:p>
    <w:p>
      <w:pPr>
        <w:ind w:left="420"/>
      </w:pPr>
      <w:r>
        <w:t xml:space="preserve">1. ihr Marktanteil gemessen an den Einlagen 2 vom Hundert übersteigt,</w:t>
      </w:r>
    </w:p>
    <w:p>
      <w:pPr>
        <w:ind w:left="420"/>
      </w:pPr>
      <w:r>
        <w:t xml:space="preserve">2. sich eine Aussetzung oder Einstellung der Tätigkeit des Instituts auf die systemische Liquidität und die Zahlungsverkehrs- sowie Abwicklungs- und Verrechnungssysteme im Inland auswirken würde oder</w:t>
      </w:r>
    </w:p>
    <w:p>
      <w:pPr>
        <w:ind w:left="420"/>
      </w:pPr>
      <w:r>
        <w:t xml:space="preserve">3. ihr eine gewisse Größe und Bedeutung gemessen an der Kundenzahl innerhalb des Banken- und Finanzsystems zukommt.</w:t>
      </w:r>
    </w:p>
    <w:p>
      <w:r>
        <w:t xml:space="preserve">Die Bundesanstalt kann von den Instituten nach Satz 1 alle Angaben verlangen, die für die Beurteilung nach Satz 4 erforderlich sind.</w:t>
      </w:r>
    </w:p>
    <w:p>
      <w:r>
        <w:t xml:space="preserve">(9) Haben die Bundesanstalt, die zuständige Stelle des Herkunftsmitgliedstaates sowie gegebenenfalls die für die Beaufsichtigung auf zusammengefasster Basis zuständige Stelle innerhalb von zwei Monaten nach Erhalt des Antrags keine einvernehmliche Entscheidung über die Einstufung der Zweigniederlassung als bedeutend getroffen, entscheidet die Bundesanstalt unter Berücksichtigung der Auffassungen und Vorbehalte der anderen zuständigen Stelle innerhalb von weiteren zwei Monaten selbst über die Einstufung einer Zweigniederlassung als bedeutend. Diese Entscheidung ist den anderen zuständigen Stellen schriftlich unter Angabe von Gründen mitzuteilen. Hat die Bundesanstalt oder eine zuständige Stelle in einem anderen Staat des Europäischen Wirtschaftsraums bis zum Ablauf der Zweimonatsfrist nach Satz 1 nach Maßgabe des Artikels 19 der Verordnung (EU) Nr. 1093/2010 die Europäische Bankenaufsichtsbehörde um Hilfe ersucht, stellt die Bundesanstalt ihre Entscheidung nach Satz 1 bis zu einem Beschluss der Europäischen Bankenaufsichtsbehörde gemäß Artikel 19 Absatz 3 der Verordnung (EU) Nr. 1093/2010 zurück und entscheidet dann in Übereinstimmung mit einem solchen Beschluss. Nach Ablauf der Zweimonatsfrist oder nachdem eine gemeinsame Entscheidung getroffen wurde, kann die Europäische Bankenaufsichtsbehörde nicht mehr um Hilfe ersucht werden.</w:t>
      </w:r>
    </w:p>
    <w:p>
      <w:r>
        <w:t xml:space="preserve">(10) Bei gemeinsamen Entscheidungen nach Artikel 113 Absatz 1 der Richtlinie 2013/36/EU in der Fassung vom 27. November 2024 und bei Entscheidungen, die die zuständigen Behörden bei Fehlen einer gemeinsamen Entscheidung nach Artikel 113 Absatz 3 der Richtlinie 2013/36/EU in der Fassung vom 27. November 2024 treffen, wird die Entscheidung der Stelle, die für die Beaufsichtigung auf zusammengefasster Basis zuständig ist, von der Bundesanstalt als verbindlich anerkannt und umgesetzt. Ist die Bundesanstalt auf Einzelinstitutsebene oder auf teilkonsolidierter Basis für die Beaufsichtigung von Tochterunternehmen eines EU-Mutterinstituts, einer EU-Mutterfinanzholding-Gesellschaft oder einer gemischten EU-Mutterfinanzholding-Gesellschaft zuständig, für deren Beaufsichtigung auf zusammengefasster Basis sie nicht zuständig ist, und kommt es in den Fällen des § 8a Absatz 3 Satz 1 Nummer 1 bis 4 innerhalb der viermonatigen Frist nach § 8a Absatz 4 Satz 1 nicht zu einer gemeinsamen Entscheidung aller zuständigen Stellen, so entscheidet die Bundesanstalt allein. Bei der Entscheidung berücksichtigt sie angemessen die Auffassungen und Vorbehalte der zuständigen Stelle, die die Aufsicht auf zusammengefasster Basis über die Institutsgruppe, Finanzholding-Gruppe oder gemischte Finanzholding-Gruppe ausübt; die Entscheidung muss der Risikobewertung und den Auffassungen und Vorbehalten Rechnung tragen, die innerhalb der viermonatigen Frist von den anderen zuständigen Stellen geäußert wurden. Hat die Bundesanstalt oder eine zuständige Stelle in einem anderen Staat des Europäischen Wirtschaftsraums bis zum Ablauf der Viermonatsfrist nach § 8a Absatz 4 Satz 1 nach Maßgabe des Artikels 19 der Verordnung (EU) Nr. 1093/2010 die Europäische Bankenaufsichtsbehörde um Hilfe ersucht, stellt die Bundesanstalt ihre Entscheidung nach Satz 2 bis zu dem Beschluss der Europäischen Bankenaufsichtsbehörde gemäß Artikel 19 Absatz 3 der Verordnung (EU) Nr. 1093/2010 zurück und entscheidet dann in Übereinstimmung mit einem solchen Beschluss. Nach Ablauf der Viermonatsfrist oder nachdem eine gemeinsame Entscheidung getroffen wurde, kann die Europäische Bankenaufsichtsbehörde nicht mehr um Hilfe ersucht werden. Die Bundesanstalt übersendet der zuständigen Stelle, die die Aufsicht auf zusammengefasster Basis über die Institutsgruppe, Finanzholding-Gruppe oder gemischte Finanzholding-Gruppe ausübt, die schriftliche Entscheidung unter Angabe der vollständigen Begründung. Wurde die Europäische Bankenaufsichtsbehörde angehört, berücksichtigt die Bundesanstalt deren Stellungnahme und begründet jede erhebliche Abweichung davon.</w:t>
      </w:r>
    </w:p>
    <w:p>
      <w:r>
        <w:t xml:space="preserve">(11) Bevor die Bundesanstalt eine Prüfung nach § 44 über eine Zweigniederlassung anordnet, die im Inland tätig ist, hat sie die zuständigen Stellen des Herkunftsmitgliedstaates anzuhören. Die Informationen und Erkenntnisse, die durch die Prüfung gewonnen werden, sind den zuständigen Stellen des Herkunftsmitgliedstaates mitzuteilen, wenn sie wichtig sind für die Risikobewertung des Mutterinstituts oder für die Stabilität des Finanzsystems des Herkunftsmitgliedstaates.</w:t>
      </w:r>
    </w:p>
    <w:p>
      <w:r>
        <w:t xml:space="preserve">(12) Wird der Austritt des Vereinigten Königreichs Großbritannien und Nordirland aus der Europäischen Union wirksam, ohne dass bis zu diesem Zeitpunkt ein Austrittsabkommen im Sinne von Artikel 50 Absatz 2 Satz 2 des Vertrages über die Europäische Union in Kraft getreten ist, so kann die Bundesanstalt zur Vermeidung von Nachteilen für die Funktionsfähigkeit oder die Stabilität der Finanzmärkte anordnen, dass die Vorschriften der Absätze 1 bis 9 für einen Übergangszeitraum nach dem Austritt auf Unternehmen mit Sitz im Vereinigten Königreich Großbritannien und Nordirland, die zum Zeitpunkt des Austritts des Vereinigten Königreichs Großbritannien und Nordirland aus der Europäischen Union nach Absatz 1 im Inland über eine Zweigniederlassung oder im Wege des grenzüberschreitenden Dienstleistungsverkehrs Bankgeschäfte betrieben oder Finanzdienstleistungen erbracht haben, ganz oder teilweise entsprechend anzuwenden sind. Dies gilt nur, soweit die Unternehmen nach dem Austritt Bankgeschäfte betreiben oder Finanzdienstleistungen erbringen, die in engem Zusammenhang mit zum Zeitpunkt des Austritts bestehenden Verträgen stehen. Der im Zeitpunkt des Austritts beginnende Übergangszeitraum darf eine Dauer von 21 Monaten nicht überschreiten. Die Anordnung kann auch durch Allgemeinverfügung ohne vorherige Anhörung getroffen und öffentlich bekannt gegeben werden.</w:t>
      </w:r>
    </w:p>
    <w:p>
      <w:r>
        <w:rPr>
          <w:color w:val="555555"/>
          <w:sz w:val="17"/>
        </w:rPr>
        <w:t xml:space="preserve">Zitiervorschlag: § 53b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