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KredWG — Zweigstellen von Unternehmen mit Sitz im Ausland;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Unterhält ein Unternehmen mit Sitz im Ausland eine Zweigstelle im Inland, die Bankgeschäfte betreibt oder Finanzdienstleistungen erbringt, gilt die Zweigstelle als Kreditinstitut oder Finanzdienstleistungsinstitut. Unterhält das Unternehmen mehrere Zweigstellen im Inland, gelten sie als ein Institut.</w:t>
      </w:r>
    </w:p>
    <w:p>
      <w:r>
        <w:t xml:space="preserve">(2) Auf die in Absatz 1 bezeichneten Institute ist dieses Gesetz mit folgender Maßgabe anzuwenden:</w:t>
      </w:r>
    </w:p>
    <w:p>
      <w:pPr>
        <w:ind w:left="420"/>
      </w:pPr>
      <w:r>
        <w:t xml:space="preserve">1. Das Unternehmen hat natürliche Personen mit Wohnsitz im Inland zu bestellen, die für den Geschäftsbereich des Instituts zur Geschäftsführung und zur Vertretung des Unternehmens befugt sind; eine Mindestzahl der zu bestellenden Personen bestimmt sich nach § 33 Absatz 1 Satz 1 Nummer 5. Solche Personen gelten als Geschäftsleiter. Sie sind zur Eintragung in das Handelsregister anzumelden.</w:t>
      </w:r>
    </w:p>
    <w:p>
      <w:pPr>
        <w:ind w:left="420"/>
      </w:pPr>
      <w:r>
        <w:t xml:space="preserve">2. Das Institut ist verpflichtet, über die von ihm betriebenen Geschäfte und über das seinem Geschäftsbetrieb dienende Vermögen des Unternehmens gesondert Buch zu führen und gegenüber der Bundesanstalt und der Deutschen Bundesbank Rechnung zu legen. Die Vorschriften des Handelsgesetzbuchs über Handelsbücher gelten insoweit entsprechend. Auf der Passivseite der jährlichen Vermögensübersicht ist der Betrag des dem Institut von dem Unternehmen zur Verfügung gestellten Betriebskapitals und der Betrag der dem Institut zur Verstärkung der eigenen Mittel belassenen Betriebsüberschüsse gesondert auszuweisen. Der Überschuß der Passivposten über die Aktivposten oder der Überschuß der Aktivposten über die Passivposten ist am Schluß der Vermögensübersicht ungeteilt und gesondert auszuweisen.</w:t>
      </w:r>
    </w:p>
    <w:p>
      <w:pPr>
        <w:ind w:left="420"/>
      </w:pPr>
      <w:r>
        <w:t xml:space="preserve">3. Die nach Nummer 2 für den Schluß eines jeden Geschäftsjahres aufzustellende Vermögensübersicht mit einer Aufwands- und Ertragsrechnung und einem Anhang gilt als Jahresabschluß (§ 26). Für die Prüfung des Jahresabschlusses gilt § 340k des Handelsgesetzbuchs entsprechend mit der Maßgabe, daß der Prüfer von den Geschäftsleitern gewählt und bestellt wird. Mit dem Jahresabschluß des Instituts ist der Jahresabschluß des Unternehmens für das gleiche Geschäftsjahr einzureichen.</w:t>
      </w:r>
    </w:p>
    <w:p>
      <w:pPr>
        <w:ind w:left="420"/>
      </w:pPr>
      <w:r>
        <w:t xml:space="preserve">4. Für Zweigstellen, die sowohl das Einlagen- als auch das Kreditgeschäft betreiben, gilt § 33 Absatz 1 Satz 1 Nummer 1 Buchstabe d entsprechend. Als Eigenmittel des Instituts gilt die Summe der Beträge, die in den Finanzinformationen nach § 25 als dem Institut von dem Unternehmen zur Verfügung gestelltes Betriebskapital und ihm zur Verstärkung der eigenen Mittel belassene Betriebsüberschüsse ausgewiesen wird, abzüglich des Betrags eines etwaigen aktiven Verrechnungssaldos. Außerdem ist dem Institut Kapital nach den Artikeln 61 und 71 der Verordnung (EU) Nr. 575/2013 in der jeweils geltenden Fassung zuzurechnen; die Artikel 25 bis 91 der Verordnung (EU) Nr. 575/2013 in ihrer jeweils geltenden Fassung gelten mit der Maßgabe, dass die Eigenmittel nach Satz 2 als hartes Kernkapital gelten.</w:t>
      </w:r>
    </w:p>
    <w:p>
      <w:pPr>
        <w:ind w:left="420"/>
      </w:pPr>
      <w:r>
        <w:t xml:space="preserve">5. Die Erlaubnis kann auch dann versagt werden, wenn die Gegenseitigkeit nicht auf Grund zwischenstaatlicher Vereinbarungen gewährleistet ist. Die Erlaubnis ist zu widerrufen, wenn und soweit dem Unternehmen die Erlaubnis zum Betreiben von Bankgeschäften oder Erbringen von Finanzdienstleistungen von der für die Aufsicht über das Unternehmen im Ausland zuständigen Stelle entzogen worden ist.</w:t>
      </w:r>
    </w:p>
    <w:p>
      <w:pPr>
        <w:ind w:left="420"/>
      </w:pPr>
      <w:r>
        <w:t xml:space="preserve">6. Für die Anwendung des § 36 Abs. 1 gilt das Institut als juristische Person.</w:t>
      </w:r>
    </w:p>
    <w:p>
      <w:pPr>
        <w:ind w:left="420"/>
      </w:pPr>
      <w:r>
        <w:t xml:space="preserve">7. Die Eröffnung neuer Zweigstellen sowie die Schließung von Zweigstellen im Inland hat das Institut der Bundesanstalt und der Deutschen Bundesbank unverzüglich anzuzeigen.</w:t>
      </w:r>
    </w:p>
    <w:p>
      <w:r>
        <w:t xml:space="preserve">(2a) Für die Bestimmungen dieses Gesetzes, die daran anknüpfen, daß ein Institut das Tochterunternehmen eines Unternehmens mit Sitz im Ausland ist, gilt die Zweigstelle als hundertprozentiges Tochterunternehmen der Institutszentrale mit Sitz im Ausland.</w:t>
      </w:r>
    </w:p>
    <w:p>
      <w:r>
        <w:t xml:space="preserve">(3) Für Klagen, die auf den Geschäftsbetrieb einer Zweigstelle im Sinne des Absatzes 1 Bezug haben, darf der Gerichtsstand der Niederlassung nach § 21 der Zivilprozeßordnung nicht durch Vertrag ausgeschlossen werden.</w:t>
      </w:r>
    </w:p>
    <w:p>
      <w:r>
        <w:t xml:space="preserve">(4) Die Absätze 2 bis 3 sind nicht anzuwenden, soweit zwischenstaatliche Vereinbarungen entgegenstehen, denen die gesetzgebenden Körperschaften in der Form eines Bundesgesetzes zugestimmt haben.</w:t>
      </w:r>
    </w:p>
    <w:p>
      <w:r>
        <w:t xml:space="preserve">(5) Ist ein Beschluss über die Auflösung der Zweigstelle gefasst worden, so ist dieser zur Eintragung in das Handelsregister des Gerichts der Zweigstelle anzumelden und der Vermerk 'in Abwicklung' im Rechtsverkehr zu führen. Die erteilte Erlaubnis ist an die Bundesanstalt zurückzugeben.</w:t>
      </w:r>
    </w:p>
    <w:p>
      <w:r>
        <w:t xml:space="preserve">(6) Die ebenfalls eintragungspflichtige Aufhebung der Zweigstelle darf nur mit Zustimmung der Bundesanstalt erfolgen. Die Zustimmung ist in der Regel zu verweigern, wenn nicht nachgewiesen ist, dass sämtliche Geschäfte der Zweigstelle abgewickelt worden sind.</w:t>
      </w:r>
    </w:p>
    <w:p>
      <w:r>
        <w:t xml:space="preserve">(7) Das Bundesministerium der Finanzen wird ermächtigt, durch Rechtsverordnung, die nicht der Zustimmung des Bundesrates bedarf, zu bestimmen, dass die Vorschriften dieses Gesetzes über ausländische Unternehmen mit Sitz in einem anderen Staat des Europäischen Wirtschaftsraums auch auf Unternehmen mit Sitz in einem Drittstaat anzuwenden sind, soweit dies im Bereich des Niederlassungsrechts oder des Dienstleistungsverkehrs oder für die Aufsicht auf zusammengefasster Basis aufgrund von Abkommen der Europäischen Union mit Drittstaaten erforderlich ist.</w:t>
      </w:r>
    </w:p>
    <w:p>
      <w:r>
        <w:t xml:space="preserve">(8) Ungeachtet der Regelungen des Absatzes 7 können Unternehmen mit Sitz in einem Drittstaat, die in das Register nach Artikel 48 der Verordnung (EU) Nr. 600/2014 eingetragen wurden, gegenüber geeigneten Gegenparteien und professionellen Kunden im Inland Wertpapierdienstleistungen im Sinne des § 2 Absatz 8 und 9 des Wertpapierhandelsgesetzes erbringen. In diesem Fall ist § 53b Absatz 1 und 3 entsprechend anzuwenden.</w:t>
      </w:r>
    </w:p>
    <w:p>
      <w:r>
        <w:rPr>
          <w:color w:val="555555"/>
          <w:sz w:val="17"/>
        </w:rPr>
        <w:t xml:space="preserve">Zitiervorschlag: § 53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