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52a KredWG — Verjährung von Ansprüchen gegen Organmitglieder von Kreditinstituten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Ansprüche von Kreditinstituten gegen Geschäftsleiter und Mitglieder des Aufsichts- oder Verwaltungsorgans aus dem Organ- und Anstellungsverhältnis wegen der Verletzung von Sorgfaltspflichten verjähren in zehn Jahren.</w:t>
      </w:r>
    </w:p>
    <w:p>
      <w:r>
        <w:t xml:space="preserve">(2) Absatz 1 ist auch auf die vor dem 15. Dezember 2010 entstandenen und noch nicht verjährten Ansprüche anzuwenden.</w:t>
      </w:r>
    </w:p>
    <w:p>
      <w:r>
        <w:rPr>
          <w:color w:val="555555"/>
          <w:sz w:val="17"/>
        </w:rPr>
        <w:t xml:space="preserve">Zitiervorschlag: § 52a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