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51b KredWG — Anforderungen an die Liquidität für Wohnungsunternehmen mit Spareinrichtung</w:t>
      </w:r>
    </w:p>
    <w:p>
      <w:r>
        <w:rPr>
          <w:color w:val="555555"/>
          <w:sz w:val="18"/>
        </w:rPr>
        <w:t xml:space="preserve">Kreditwesengesetz</w:t>
      </w:r>
    </w:p>
    <w:p>
      <w:r>
        <w:rPr>
          <w:color w:val="555555"/>
          <w:sz w:val="18"/>
        </w:rPr>
        <w:t xml:space="preserve">Stand: 10.06.2019 (konsolidierte Textfassung, kein amtliches Inkrafttretensdatum)</w:t>
      </w:r>
    </w:p>
    <w:p>
      <w:r>
        <w:t xml:space="preserve">(1) Wohnungsunternehmen mit Spareinrichtung müssen ihre Mittel so anlegen, dass jederzeit eine ausreichende Zahlungsfähigkeit (Liquidität) gewährleistet ist. Mietzahlungen, die in den nächsten zwölf Monaten fällig werden, werden als Liquiditätszuflüsse berücksichtigt.</w:t>
      </w:r>
    </w:p>
    <w:p>
      <w:r>
        <w:t xml:space="preserve">(2) Das Bundesministerium der Finanzen wird ermächtigt, durch Rechtsverordnung, die nicht der Zustimmung des Bundesrates bedarf, im Benehmen mit der Deutschen Bundesbank nähere Bestimmungen über die ausreichende Liquidität zu erlassen, insbesondere über die</w:t>
      </w:r>
    </w:p>
    <w:p>
      <w:pPr>
        <w:ind w:left="420"/>
      </w:pPr>
      <w:r>
        <w:t xml:space="preserve">1. Methoden zur Beurteilung der ausreichenden Liquidität und die dafür erforderlichen technischen Grundsätze,</w:t>
      </w:r>
    </w:p>
    <w:p>
      <w:pPr>
        <w:ind w:left="420"/>
      </w:pPr>
      <w:r>
        <w:t xml:space="preserve">2. als Zahlungsmittel und Zahlungsverpflichtungen zu berücksichtigenden Geschäfte einschließlich ihrer Bemessungsgrundlagen und</w:t>
      </w:r>
    </w:p>
    <w:p>
      <w:pPr>
        <w:ind w:left="420"/>
      </w:pPr>
      <w:r>
        <w:t xml:space="preserve">3. Pflicht der Wohnungsunternehmen mit Spareinrichtung zur Übermittlung der zum Nachweis der ausreichenden Liquidität erforderlichen Angaben an die Bundesanstalt und die Deutsche Bundesbank, einschließlich Bestimmungen zu Inhalt, Art, Umfang und Form der Angaben, zu der Häufigkeit ihrer Übermittlung und über die zulässigen Datenträger, Übertragungswege und Datenformate.</w:t>
      </w:r>
    </w:p>
    <w:p>
      <w:r>
        <w:t xml:space="preserve">Das Bundesministerium der Finanzen kann die Ermächtigung durch Rechtsverordnung auf die Bundesanstalt mit der Maßgabe übertragen, dass die Rechtsverordnung im Einvernehmen mit der Deutschen Bundesbank ergeht. Vor Erlass der Rechtsverordnung ist der Spitzenverband der Wohnungsunternehmen mit Spareinrichtung zu hören.</w:t>
      </w:r>
    </w:p>
    <w:p>
      <w:r>
        <w:t xml:space="preserve">(3) Die Bundesanstalt kann bei der Beurteilung der Liquidität im Einzelfall gegenüber Wohnungsunternehmen mit Spareinrichtung über die in der Rechtsverordnung nach Absatz 2 Satz 1 festgelegten Vorgaben hinausgehende Liquiditätsanforderungen anordnen, wenn ohne eine solche Maßnahme die nachhaltige Liquidität nicht gesichert ist.</w:t>
      </w:r>
    </w:p>
    <w:p>
      <w:r>
        <w:rPr>
          <w:color w:val="555555"/>
          <w:sz w:val="17"/>
        </w:rPr>
        <w:t xml:space="preserve">Zitiervorschlag: § 51b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