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KredWG — Elektronische Kommunikation; Verordnungsermächtigung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(1) Verwaltungsakte, die aufgrund dieses Gesetzes erlassen werden, dürfen nach § 4f des Finanzdienstleistungsaufsichtsgesetzes elektronisch bekanntgegeben oder nach § 4g des Finanzdienstleistungsaufsichtsgesetzes elektronisch zugestellt werden.</w:t>
      </w:r>
    </w:p>
    <w:p>
      <w:r>
        <w:t xml:space="preserve">(2) Das Bundesministerium der Finanzen wird ermächtigt, durch Rechtsverordnung, die nicht der Zustimmung des Bundesrates bedarf, im Benehmen mit der Deutschen Bundesbank,</w:t>
      </w:r>
    </w:p>
    <w:p>
      <w:pPr>
        <w:ind w:left="420"/>
      </w:pPr>
      <w:r>
        <w:t xml:space="preserve">1. Regelungen vorzusehen, mit denen die in diesem Gesetz genannten Adressaten verpflichtet werden können,</w:t>
      </w:r>
    </w:p>
    <w:p>
      <w:pPr>
        <w:ind w:left="780"/>
      </w:pPr>
      <w:r>
        <w:t xml:space="preserve">a) einen elektronischen Zugang zu den in Absatz 1 genannten Verfahren zu eröffnen und</w:t>
      </w:r>
    </w:p>
    <w:p>
      <w:pPr>
        <w:ind w:left="780"/>
      </w:pPr>
      <w:r>
        <w:t xml:space="preserve">b) die in Absatz 1 genannten Verfahren zu nutzen sowie</w:t>
      </w:r>
    </w:p>
    <w:p>
      <w:pPr>
        <w:ind w:left="420"/>
      </w:pPr>
      <w:r>
        <w:t xml:space="preserve">2. nähere Bestimmungen zu treffen</w:t>
      </w:r>
    </w:p>
    <w:p>
      <w:pPr>
        <w:ind w:left="780"/>
      </w:pPr>
      <w:r>
        <w:t xml:space="preserve">a) zum Zugang zu den in Absatz 1 genannten Verfahren der elektronischen Kommunikation und</w:t>
      </w:r>
    </w:p>
    <w:p>
      <w:pPr>
        <w:ind w:left="780"/>
      </w:pPr>
      <w:r>
        <w:t xml:space="preserve">b) zur Durchführung und Nutzung der in Absatz 1 genannten elektronischen Kommunikation.</w:t>
      </w:r>
    </w:p>
    <w:p>
      <w:r>
        <w:t xml:space="preserve">Das Bundesministerium der Finanzen kann die Ermächtigung durch Rechtsverordnung auf die Bundesanstalt mit der Maßgabe übertragen, dass die Rechtsverordnung im Einvernehmen mit der Deutschen Bundesbank ergeht.</w:t>
      </w:r>
    </w:p>
    <w:p>
      <w:r>
        <w:rPr>
          <w:color w:val="555555"/>
          <w:sz w:val="17"/>
        </w:rPr>
        <w:t xml:space="preserve">Zitiervorschlag: § 5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