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KredWG — Sofortige Vollziehbarkeit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Keine aufschiebende Wirkung haben Widerspruch und Anfechtungsklage gegen Maßnahmen der Bundesanstalt einschließlich der Androhung und Festsetzung von Zwangsmitteln auf der Grundlage</w:t>
      </w:r>
    </w:p>
    <w:p>
      <w:pPr>
        <w:ind w:left="420"/>
      </w:pPr>
      <w:r>
        <w:t xml:space="preserve">1. des § 2c Absatz 1b Satz 1 bis 3, Absatz 2 Satz 1 und Absatz 2a,</w:t>
      </w:r>
    </w:p>
    <w:p>
      <w:pPr>
        <w:ind w:left="420"/>
      </w:pPr>
      <w:r>
        <w:t xml:space="preserve">2. des § 3 Absatz 4,</w:t>
      </w:r>
    </w:p>
    <w:p>
      <w:pPr>
        <w:ind w:left="420"/>
      </w:pPr>
      <w:r>
        <w:t xml:space="preserve">3. des § 6 Absatz 1b,</w:t>
      </w:r>
    </w:p>
    <w:p>
      <w:pPr>
        <w:ind w:left="420"/>
      </w:pPr>
      <w:r>
        <w:t xml:space="preserve">4. der §§ 6a, 6c und 8a Absatz 3 bis 5,</w:t>
      </w:r>
    </w:p>
    <w:p>
      <w:pPr>
        <w:ind w:left="420"/>
      </w:pPr>
      <w:r>
        <w:t xml:space="preserve">5. des § 10 Absatz 3, 3a und 4,</w:t>
      </w:r>
    </w:p>
    <w:p>
      <w:pPr>
        <w:ind w:left="420"/>
      </w:pPr>
      <w:r>
        <w:t xml:space="preserve">6. des § 10f Absatz 1 Satz 1 und Absatz 2 Satz 1,</w:t>
      </w:r>
    </w:p>
    <w:p>
      <w:pPr>
        <w:ind w:left="420"/>
      </w:pPr>
      <w:r>
        <w:t xml:space="preserve">7. des § 10g Absatz 1, 1a und 2 Satz 1,</w:t>
      </w:r>
    </w:p>
    <w:p>
      <w:pPr>
        <w:ind w:left="420"/>
      </w:pPr>
      <w:r>
        <w:t xml:space="preserve">8. des § 12a Absatz 2 Satz 1,</w:t>
      </w:r>
    </w:p>
    <w:p>
      <w:pPr>
        <w:ind w:left="420"/>
      </w:pPr>
      <w:r>
        <w:t xml:space="preserve">9. des § 13c Absatz 3 Satz 4,</w:t>
      </w:r>
    </w:p>
    <w:p>
      <w:pPr>
        <w:ind w:left="420"/>
      </w:pPr>
      <w:r>
        <w:t xml:space="preserve">10. des § 25b Absatz 4a,</w:t>
      </w:r>
    </w:p>
    <w:p>
      <w:pPr>
        <w:ind w:left="420"/>
      </w:pPr>
      <w:r>
        <w:t xml:space="preserve">11. des § 25c Absatz 4c,</w:t>
      </w:r>
    </w:p>
    <w:p>
      <w:pPr>
        <w:ind w:left="420"/>
      </w:pPr>
      <w:r>
        <w:t xml:space="preserve">12. des § 28 Absatz 1 Satz 2, 4 und 5,</w:t>
      </w:r>
    </w:p>
    <w:p>
      <w:pPr>
        <w:ind w:left="420"/>
      </w:pPr>
      <w:r>
        <w:t xml:space="preserve">13. des § 35 Absatz 2 Nummer 2 bis 6 und Absatz 2a Satz 1,</w:t>
      </w:r>
    </w:p>
    <w:p>
      <w:pPr>
        <w:ind w:left="420"/>
      </w:pPr>
      <w:r>
        <w:t xml:space="preserve">14. der §§ 36, 37 und 44 Absatz 1, auch in Verbindung mit § 44b, sowie des § 44 Absatz 2 und 6,</w:t>
      </w:r>
    </w:p>
    <w:p>
      <w:pPr>
        <w:ind w:left="420"/>
      </w:pPr>
      <w:r>
        <w:t xml:space="preserve">15. des § 44a Absatz 2 Satz 1,</w:t>
      </w:r>
    </w:p>
    <w:p>
      <w:pPr>
        <w:ind w:left="420"/>
      </w:pPr>
      <w:r>
        <w:t xml:space="preserve">16. der §§ 44b, 44c, 45 und 45a Absatz 1,</w:t>
      </w:r>
    </w:p>
    <w:p>
      <w:pPr>
        <w:ind w:left="420"/>
      </w:pPr>
      <w:r>
        <w:t xml:space="preserve">17. des § 45b Absatz 1,</w:t>
      </w:r>
    </w:p>
    <w:p>
      <w:pPr>
        <w:ind w:left="420"/>
      </w:pPr>
      <w:r>
        <w:t xml:space="preserve">18. des § 45c Absatz 1 Satz 1, 6 und 7, der §§ 46, 46a, 46b Absatz 3 Satz 2, der §§ 47a, 48u Absatz 1 und 7,</w:t>
      </w:r>
    </w:p>
    <w:p>
      <w:pPr>
        <w:ind w:left="420"/>
      </w:pPr>
      <w:r>
        <w:t xml:space="preserve">19. des § 53b Absatz 12,</w:t>
      </w:r>
    </w:p>
    <w:p>
      <w:pPr>
        <w:ind w:left="420"/>
      </w:pPr>
      <w:r>
        <w:t xml:space="preserve">20. des § 53co Absatz 2 Nummer 1, 2, 4 und 5,</w:t>
      </w:r>
    </w:p>
    <w:p>
      <w:pPr>
        <w:ind w:left="420"/>
      </w:pPr>
      <w:r>
        <w:t xml:space="preserve">21. der §§ 53l und 53n Absatz 1 Satz 1 sowie</w:t>
      </w:r>
    </w:p>
    <w:p>
      <w:pPr>
        <w:ind w:left="420"/>
      </w:pPr>
      <w:r>
        <w:t xml:space="preserve">22. der §§ 53p und 53q Absatz 2.</w:t>
      </w:r>
    </w:p>
    <w:p>
      <w:r>
        <w:t xml:space="preserve">(2) Keine aufschiebende Wirkung haben Widerspruch und Anfechtungsklage gegen Maßnahmen und Entscheidungen der Bundesanstalt einschließlich der Androhung und Festsetzung von Zwangsmitteln auf der Grundlage des Artikels 6 Absatz 4, des Artikels 8 Absatz 1 und des Artikels 63 der Verordnung (EU) 2019/1238.</w:t>
      </w:r>
    </w:p>
    <w:p>
      <w:r>
        <w:rPr>
          <w:color w:val="555555"/>
          <w:sz w:val="17"/>
        </w:rPr>
        <w:t xml:space="preserve">Zitiervorschlag: § 49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