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48a KredWG — Maßnahmen bei Risiko einer übermäßigen Konzentration von Risikopositionen gegenüber einer zentralen Gegenpartei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25.06.2026 (konsolidierte Textfassung, kein amtliches Inkrafttretensdatum)</w:t>
      </w:r>
    </w:p>
    <w:p>
      <w:r>
        <w:t xml:space="preserve">Die Bundesanstalt kann, wenn sie der Auffassung ist, dass ein Risiko einer übermäßigen Konzentration besteht, das aus Risikopositionen gegenüber einer zentralen Gegenpartei erwächst, die Geschäftsleiter eines Instituts anweisen,</w:t>
      </w:r>
    </w:p>
    <w:p>
      <w:pPr>
        <w:ind w:left="420"/>
      </w:pPr>
      <w:r>
        <w:t xml:space="preserve">1. die Risikopositionen des Instituts gegenüber dieser zentralen Gegenpartei zu verringern oder</w:t>
      </w:r>
    </w:p>
    <w:p>
      <w:pPr>
        <w:ind w:left="420"/>
      </w:pPr>
      <w:r>
        <w:t xml:space="preserve">2. Risikopositionen über die Clearingkonten des Instituts gemäß Artikel 7a der Verordnung (EU) Nr. 648/2012 neu zuzuweisen.</w:t>
      </w:r>
    </w:p>
    <w:p>
      <w:r>
        <w:rPr>
          <w:color w:val="555555"/>
          <w:sz w:val="17"/>
        </w:rPr>
        <w:t xml:space="preserve">Zitiervorschlag: § 48a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https://recht.nulegal.eu/gesetze/KredWG/48a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