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KredWG — Maßnahmen bei Verstößen gegen die Verordnung (EU) 2017/2402</w:t>
      </w:r>
    </w:p>
    <w:p>
      <w:r>
        <w:rPr>
          <w:color w:val="555555"/>
          <w:sz w:val="18"/>
        </w:rPr>
        <w:t xml:space="preserve">Kreditwesengesetz</w:t>
      </w:r>
    </w:p>
    <w:p>
      <w:r>
        <w:rPr>
          <w:color w:val="555555"/>
          <w:sz w:val="18"/>
        </w:rPr>
        <w:t xml:space="preserve">Stand: 30.09.2021 (konsolidierte Textfassung, kein amtliches Inkrafttretensdatum)</w:t>
      </w:r>
    </w:p>
    <w:p>
      <w:r>
        <w:t xml:space="preserve">(1) Verstößt ein Originator, Sponsor, ursprünglicher Kreditgeber oder eine Verbriefungszweckgesellschaft gegen die Anforderungen der Artikel 6, 7, 9, 18 bis 26, 26b bis 26e oder 27 Absatz 1 oder Absatz 4 der Verordnung (EU) 2017/2402, kann die Aufsichtsbehörde anordnen, dass die den Verstoß begründenden Handlungen oder Verhaltensweisen dauerhaft eingestellt werden, sowie verlangen, dass deren Wiederholung verhindert wird.</w:t>
      </w:r>
    </w:p>
    <w:p>
      <w:r>
        <w:t xml:space="preserve">(2) Wird eine Verbriefung als STS-Verbriefung im Sinne des Artikels 18 der Verordnung (EU) 2017/2402 bezeichnet und hat ein Originator, ein Sponsor oder eine Verbriefungszweckgesellschaft gegen eine der Anforderungen der Artikel 19 bis 26 oder der Artikel 26b bis 26e dieser Verordnung verstoßen oder macht ein Originator oder Sponsor eine irreführende Meldung nach Artikel 27 Absatz 1 dieser Verordnung, kann die Aufsichtsbehörde vorübergehend verbieten, dass Originator und Sponsor gemäß Artikel 27 Absatz 1 dieser Verordnung melden, dass ihre Verbriefungen die Anforderungen der Artikel 19 bis 22, der Artikel 23 bis 26 oder der Artikel 26b bis 26e dieser Verordnung erfüllen.</w:t>
      </w:r>
    </w:p>
    <w:p>
      <w:r>
        <w:t xml:space="preserve">(3) Verletzt ein gemäß Artikel 28 Absatz 1 der Verordnung (EU) 2017/2402 zugelassener Dritter seine Pflicht gemäß Artikel 28 Absatz 2 dieser Verordnung, kann die Bundesanstalt ihm vorübergehend untersagen, gemäß Artikel 28 Absatz 1 dieser Verordnung zu bewerten, ob Verbriefungen die in den Artikeln 19 bis 26 oder den Artikeln 26b bis 26e dieser Verordnung festgelegten Kriterien erfüllen.</w:t>
      </w:r>
    </w:p>
    <w:p>
      <w:r>
        <w:rPr>
          <w:color w:val="555555"/>
          <w:sz w:val="17"/>
        </w:rPr>
        <w:t xml:space="preserve">Zitiervorschlag: § 48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