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46h KredWG — Wiederaufnahme des Bank- und Börsenverkehrs</w:t>
      </w:r>
    </w:p>
    <w:p>
      <w:r>
        <w:rPr>
          <w:color w:val="555555"/>
          <w:sz w:val="18"/>
        </w:rPr>
        <w:t xml:space="preserve">Kreditwesengesetz</w:t>
      </w:r>
    </w:p>
    <w:p>
      <w:r>
        <w:rPr>
          <w:color w:val="555555"/>
          <w:sz w:val="18"/>
        </w:rPr>
        <w:t xml:space="preserve">Stand: 10.06.2019 (konsolidierte Textfassung, kein amtliches Inkrafttretensdatum)</w:t>
      </w:r>
    </w:p>
    <w:p>
      <w:r>
        <w:t xml:space="preserve">(1) Die Bundesregierung kann nach Anhörung der Deutschen Bundesbank für die Zeit nach einer vorübergehenden Schließung der Kreditinstitute und Börsen gemäß § 46g Absatz 1 Nummer 2 und 3 durch Rechtsverordnung Vorschriften für die Wiederaufnahme des Zahlungs- und Überweisungsverkehrs sowie des Börsenverkehrs erlassen. Sie kann hierbei insbesondere bestimmen, daß die Auszahlung von Guthaben zeitweiligen Beschränkungen unterliegt. Für Geldbeträge, die nach einer vorübergehenden Schließung der Kreditinstitute angenommen werden, dürfen solche Beschränkungen nicht angeordnet werden.</w:t>
      </w:r>
    </w:p>
    <w:p>
      <w:r>
        <w:t xml:space="preserve">(2) Die nach Absatz 1 sowie die nach § 46g Absatz 1 erlassenen Rechtsverordnungen treten, wenn sie nicht vorher aufgehoben worden sind, drei Monate nach ihrer Verkündung außer Kraft.</w:t>
      </w:r>
    </w:p>
    <w:p>
      <w:r>
        <w:rPr>
          <w:color w:val="555555"/>
          <w:sz w:val="17"/>
        </w:rPr>
        <w:t xml:space="preserve">Zitiervorschlag: § 46h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https://recht.nulegal.eu/gesetze/KredWG/46h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