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46c KredWG — Insolvenzrechtliche Fristen und Haftungsfragen</w:t>
      </w:r>
    </w:p>
    <w:p>
      <w:r>
        <w:rPr>
          <w:color w:val="555555"/>
          <w:sz w:val="18"/>
        </w:rPr>
        <w:t xml:space="preserve">Kreditwesengesetz</w:t>
      </w:r>
    </w:p>
    <w:p>
      <w:r>
        <w:rPr>
          <w:color w:val="555555"/>
          <w:sz w:val="18"/>
        </w:rPr>
        <w:t xml:space="preserve">Stand: 10.06.2019 (konsolidierte Textfassung, kein amtliches Inkrafttretensdatum)</w:t>
      </w:r>
    </w:p>
    <w:p>
      <w:r>
        <w:t xml:space="preserve">(1) Die nach den §§ 88 und 130 bis 136 der Insolvenzordnung vom Tag des Antrags auf Eröffnung des Insolvenzverfahrens an zu berechnenden Fristen sind vom Tag des Erlasses einer Maßnahme nach § 46 Absatz 1 an zu berechnen.</w:t>
      </w:r>
    </w:p>
    <w:p>
      <w:r>
        <w:t xml:space="preserve">(2) Es wird vermutet, dass Leistungen des Instituts, die zwischen einer Anordnung der Bundesanstalt nach § 46 Absatz 1 Satz 2 Nummer 4 bis 6 und dem Insolvenzantrag erfolgten und nach § 46 zulässig sind, die Gläubiger des Instituts nicht benachteiligen und mit der Sorgfalt ordentlicher Kaufleute vereinbar sind. Die Bundesanstalt handelt bei ihrer Tätigkeit pflichtgemäß, soweit sie bei Ausübung ihrer Befugnisse vernünftigerweise annehmen durfte, auf der Grundlage angemessener Informationen die Ziele des Gesetzes erreichen zu können. § 4 Absatz 4 des Finanzdienstleistungsaufsichtsgesetzes bleibt unberührt.</w:t>
      </w:r>
    </w:p>
    <w:p>
      <w:r>
        <w:rPr>
          <w:color w:val="555555"/>
          <w:sz w:val="17"/>
        </w:rPr>
        <w:t xml:space="preserve">Zitiervorschlag: § 46c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