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46a KredWG — Untersagungs- und Anordnungsbefugnis bei Verwenden externer Ratings</w:t>
      </w:r>
    </w:p>
    <w:p>
      <w:r>
        <w:rPr>
          <w:color w:val="555555"/>
          <w:sz w:val="18"/>
        </w:rPr>
        <w:t xml:space="preserve">Kreditwesengesetz</w:t>
      </w:r>
    </w:p>
    <w:p>
      <w:r>
        <w:rPr>
          <w:color w:val="555555"/>
          <w:sz w:val="18"/>
        </w:rPr>
        <w:t xml:space="preserve">Stand: 29.12.2020 (konsolidierte Textfassung, kein amtliches Inkrafttretensdatum)</w:t>
      </w:r>
    </w:p>
    <w:p>
      <w:r>
        <w:t xml:space="preserve">(1) Die Aufsichtsbehörde kann einem Institut, das für aufsichtliche Zwecke Ratings einer oder mehrerer Ratingagenturen verwendet, das Verwenden dieser Ratings untersagen, wenn die Ratingagenturen ihren Sitz nicht innerhalb des Europäischen Wirtschaftsraums haben und nicht nach der Verordnung (EG) Nr. 1060/2009 in der jeweils geltenden Fassung registriert sind.</w:t>
      </w:r>
    </w:p>
    <w:p>
      <w:r>
        <w:t xml:space="preserve">(2) Die Aufsichtsbehörde kann gegenüber einem Institut im Einzelfall Anordnungen treffen, die geeignet und erforderlich sind, die Einhaltung der Anforderungen der Verordnung (EG) Nr. 1060/2009 in der jeweils geltenden Fassung sicherzustellen. Insbesondere kann die Aufsichtsbehörde Anordnungen treffen, um einem übermäßigen Rückgriff des Instituts auf Ratings entgegenzuwirken.</w:t>
      </w:r>
    </w:p>
    <w:p>
      <w:r>
        <w:rPr>
          <w:color w:val="555555"/>
          <w:sz w:val="17"/>
        </w:rPr>
        <w:t xml:space="preserve">Zitiervorschlag: § 46a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https://recht.nulegal.eu/gesetze/KredWG/46a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