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KredWG — Maßnahmen gegenüber Finanzholding-Gesellschaften und gemischten Finanzholding-Gesellschaften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kann einer Finanzholding-Gesellschaft an der Spitze einer Finanzholding-Gruppe im Sinne des § 10a oder einer gemischten Finanzholding-Gesellschaft an der Spitze einer gemischten Finanzholding-Gruppe im Sinne des § 10a die Ausübung ihrer Stimmrechte an dem übergeordneten Unternehmen und den anderen nachgeordneten Unternehmen untersagen, wenn</w:t>
      </w:r>
    </w:p>
    <w:p>
      <w:pPr>
        <w:ind w:left="420"/>
      </w:pPr>
      <w:r>
        <w:t xml:space="preserve">1. die Finanzholding-Gesellschaft oder die gemischte Finanzholding-Gesellschaft dem übergeordneten Unternehmen nicht die für die Zusammenfassung nach Artikel 11 bis 23 der Verordnung (EU) Nr. 575/2013 erforderlichen Angaben gemäß Artikel 11 Absatz 1 Satz 2 der Verordnung (EU) Nr. 575/2013 übermittelt, sofern nicht den Erfordernissen der bankaufsichtlichen Zusammenfassung in anderer Weise Rechnung getragen werden kann, oder</w:t>
      </w:r>
    </w:p>
    <w:p>
      <w:pPr>
        <w:ind w:left="420"/>
      </w:pPr>
      <w:r>
        <w:t xml:space="preserve">2. Tatsachen vorliegen, aus denen sich ergibt, dass ein Geschäftsleiter der Finanzholding-Gesellschaft oder der gemischten Finanzholding-Gesellschaft nicht zuverlässig ist oder nicht die zur Führung der Geschäfte erforderliche fachliche Eignung hat.</w:t>
      </w:r>
    </w:p>
    <w:p>
      <w:r>
        <w:t xml:space="preserve">(1a) Die Bundesanstalt kann in den Fällen des Absatzes 1 Nummer 2 auch gegenüber dem übergeordneten Unternehmen einer Finanzholding-Gruppe oder einer gemischten Finanzholding-Gruppe anordnen, Weisungen der Finanzholding-Gesellschaft oder der gemischten Finanzholding-Gesellschaft nicht zu befolgen, sofern es keine gesellschaftsrechtlichen Möglichkeiten gibt, den Geschäftsleiter abzuberufen. Das Gleiche gilt, wenn solche Möglichkeiten zwar vorhanden sind, aber ihre Ausschöpfung erfolglos geblieben ist.</w:t>
      </w:r>
    </w:p>
    <w:p>
      <w:r>
        <w:t xml:space="preserve">(2) Im Falle der Untersagung nach Absatz 1 hat auf Antrag der Bundesanstalt das Gericht des Sitzes des übergeordneten Unternehmens nach § 10a einen Treuhänder zu bestellen, auf den es die Ausübung der Stimmrechte überträgt. Der Treuhänder hat bei der Ausübung der Stimmrechte den Interessen einer soliden und bankaufsichtskonformen Führung der betroffenen Unternehmen Rechnung zu tragen. Die Bundesanstalt kann aus wichtigem Grund die Bestellung eines anderen Treuhänders beantragen. Sind die Voraussetzungen des Absatzes 1 entfallen, hat die Bundesanstalt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Der Bund schießt die Auslagen und die Vergütung vor; für seine Aufwendungen haften die Finanzholding-Gesellschaft oder die gemischte Finanzholding-Gesellschaft und die betroffenen Unternehmen gesamtschuldnerisch.</w:t>
      </w:r>
    </w:p>
    <w:p>
      <w:r>
        <w:t xml:space="preserve">(3) Solange die Untersagungsverfügung nach Absatz 1 vollziehbar ist, gelten die betroffenen Unternehmen nicht als nachgeordnete Unternehmen der Finanzholding-Gesellschaft oder der gemischten Finanzholding-Gesellschaft im Sinne der §§ 10a und 13b.</w:t>
      </w:r>
    </w:p>
    <w:p>
      <w:r>
        <w:rPr>
          <w:color w:val="555555"/>
          <w:sz w:val="17"/>
        </w:rPr>
        <w:t xml:space="preserve">Zitiervorschlag: § 45a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