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KredWG — Maßnahmen zur Sicherstellung einer dauerhaften Erfüllung der regulatorischen Anforderungen</w:t>
      </w:r>
    </w:p>
    <w:p>
      <w:r>
        <w:rPr>
          <w:color w:val="555555"/>
          <w:sz w:val="18"/>
        </w:rPr>
        <w:t xml:space="preserve">Kreditwesengesetz</w:t>
      </w:r>
    </w:p>
    <w:p>
      <w:r>
        <w:rPr>
          <w:color w:val="555555"/>
          <w:sz w:val="18"/>
        </w:rPr>
        <w:t xml:space="preserve">Stand: 10.04.2026 (konsolidierte Textfassung, kein amtliches Inkrafttretensdatum)</w:t>
      </w:r>
    </w:p>
    <w:p>
      <w:r>
        <w:t xml:space="preserve">(1) Die Aufsichtsbehörde kann gegenüber einem Institut Maßnahmen zur dauerhaften Erfüllung der jeweiligen Anforderung anordnen, wenn seine Vermögens-, Finanz- oder Ertragsentwicklung oder andere Umstände die Annahme rechtfertigen, dass es mindestens eine der folgenden Anforderungen nicht erfüllt oder zukünftig voraussichtlich nicht erfüllen wird:</w:t>
      </w:r>
    </w:p>
    <w:p>
      <w:pPr>
        <w:ind w:left="420"/>
      </w:pPr>
      <w:r>
        <w:t xml:space="preserve">1. die Anforderungen der Verordnung (EU) Nr. 575/2013,</w:t>
      </w:r>
    </w:p>
    <w:p>
      <w:pPr>
        <w:ind w:left="420"/>
      </w:pPr>
      <w:r>
        <w:t xml:space="preserve">2. die Anforderungen dieses Gesetzes oder der aufgrund dieses Gesetzes ergangenen Rechtsverordnungen oder</w:t>
      </w:r>
    </w:p>
    <w:p>
      <w:pPr>
        <w:ind w:left="420"/>
      </w:pPr>
      <w:r>
        <w:t xml:space="preserve">3. die Mindestanforderung an Eigenmittel und berücksichtigungsfähige Verbindlichkeiten und die Anforderung an das Verlustabsorptionskapital nach den §§ 49 bis 51 des Sanierungs- und Abwicklungsgesetzes.</w:t>
      </w:r>
    </w:p>
    <w:p>
      <w:r>
        <w:t xml:space="preserve">(2) Die Aufsichtsbehörde kann insbesondere</w:t>
      </w:r>
    </w:p>
    <w:p>
      <w:pPr>
        <w:ind w:left="420"/>
      </w:pPr>
      <w:r>
        <w:t xml:space="preserve">1. anordnen, dass das Institut der Aufsichtsbehörde und der Deutschen Bundesbank eine begründete Darstellung der Entwicklung der wesentlichen Geschäftsaktivitäten über einen Zeitraum von mindestens drei Jahren, einschließlich Planbilanzen, Plangewinn- und -verlustrechnungen sowie der bankaufsichtlichen Kennzahlen, vorlegt,</w:t>
      </w:r>
    </w:p>
    <w:p>
      <w:pPr>
        <w:ind w:left="420"/>
      </w:pPr>
      <w:r>
        <w:t xml:space="preserve">2. anordnen, dass das Institut Maßnahmen zur besseren Abschirmung oder Reduzierung der vom Institut als wesentlich identifizierten Risiken und damit verbundener Risikokonzentrationen prüft und der Aufsichtsbehörde und der Deutschen Bundesbank darüber berichtet, wobei auch Konzepte für den Ausstieg aus einzelnen Geschäftsbereichen oder die Abtrennung von Instituts- oder Gruppenteilen erwogen werden sollen,</w:t>
      </w:r>
    </w:p>
    <w:p>
      <w:pPr>
        <w:ind w:left="420"/>
      </w:pPr>
      <w:r>
        <w:t xml:space="preserve">3. anordnen, dass das Institut der Aufsichtsbehörde und der Deutschen Bundesbank über geeignete Maßnahmen zur Erhöhung seines Kernkapitals, seiner Eigenmittel und seiner Liquidität berichtet,</w:t>
      </w:r>
    </w:p>
    <w:p>
      <w:pPr>
        <w:ind w:left="420"/>
      </w:pPr>
      <w:r>
        <w:t xml:space="preserve">4. anordnen, dass das Institut ein Konzept zur Abwendung einer möglichen Gefahrenlage nach § 35 Absatz 2 Nummer 4 entwickelt und der Aufsichtsbehörde und der Deutschen Bundesbank vorlegt,</w:t>
      </w:r>
    </w:p>
    <w:p>
      <w:pPr>
        <w:ind w:left="420"/>
      </w:pPr>
      <w:r>
        <w:t xml:space="preserve">5. anordnen, dass das Institut seine Nettogewinne zur Stärkung seiner Eigenmittel einsetzt, und insbesondere Entnahmen durch die Inhaber oder Gesellschafter sowie Ausschüttungen oder Zinszahlungen an Anteilseigner, Gesellschafter oder Inhaber von Instrumenten des zusätzlichen Kernkapitals untersagen oder beschränken, sofern die Nichtzahlung nicht ein Ausfallereignis für das Institut darstellt,</w:t>
      </w:r>
    </w:p>
    <w:p>
      <w:pPr>
        <w:ind w:left="420"/>
      </w:pPr>
      <w:r>
        <w:t xml:space="preserve">6. bilanzielle Maßnahmen untersagen oder beschränken, die dazu dienen, einen entstandenen Jahresfehlbetrag auszugleichen oder einen Bilanzgewinn auszuweisen,</w:t>
      </w:r>
    </w:p>
    <w:p>
      <w:pPr>
        <w:ind w:left="420"/>
      </w:pPr>
      <w:r>
        <w:t xml:space="preserve">7. anordnen, dass die Auszahlung jeder Art von gewinnabhängigen Erträgen auf Eigenmittelinstrumente insgesamt oder teilweise ersatzlos entfällt, wenn die gewinnabhängigen Erträge nicht vollständig durch einen erzielten Jahresüberschuss gedeckt sind,</w:t>
      </w:r>
    </w:p>
    <w:p>
      <w:pPr>
        <w:ind w:left="420"/>
      </w:pPr>
      <w:r>
        <w:t xml:space="preserve">8. die Gewährung von Krediten im Sinne von § 19 Absatz 1 untersagen oder beschränken,</w:t>
      </w:r>
    </w:p>
    <w:p>
      <w:pPr>
        <w:ind w:left="420"/>
      </w:pPr>
      <w:r>
        <w:t xml:space="preserve">9. anordnen, dass das Institut Maßnahmen zur Reduzierung von Risiken, einschließlich der mit ausgelagerten Aktivitäten und Prozessen verbundenen Risiken, ergreift, soweit sich diese aus bestimmten Arten von Geschäften und Produkten oder der Nutzung bestimmter Systeme ergeben,</w:t>
      </w:r>
    </w:p>
    <w:p>
      <w:pPr>
        <w:ind w:left="420"/>
      </w:pPr>
      <w:r>
        <w:t xml:space="preserve">10. anordnen, dass das Institut den Jahresgesamtbetrag, den es für die variable Vergütung aller Geschäftsleiter und Mitarbeiter vorsieht (Gesamtbetrag der variablen Vergütungen), auf einen bestimmten Anteil des Jahresergebnisses beschränkt oder vollständig streicht, soweit diese variablen Vergütungsbestandteile nicht durch Tarifvertrag oder in seinem Geltungsbereich durch Vereinbarung der Arbeitsvertragsparteien über die Anwendung der tarifvertraglichen Regelungen oder auf Grund eines Tarifvertrags in einer Betriebs- oder Dienstvereinbarung vereinbart sind,</w:t>
      </w:r>
    </w:p>
    <w:p>
      <w:pPr>
        <w:ind w:left="420"/>
      </w:pPr>
      <w:r>
        <w:t xml:space="preserve">11. die Auszahlung variabler Vergütungsbestandteile untersagen oder auf einen bestimmten Anteil des Jahresergebnisses beschränken, soweit diese variablen Vergütungsbestandteile nicht durch Tarifvertrag oder in seinem Geltungsbereich durch Vereinbarung der Arbeitsvertragsparteien über die Anwendung der tarifvertraglichen Regelungen oder auf Grund eines Tarifvertrags in einer Betriebs- oder Dienstvereinbarung vereinbart sind,</w:t>
      </w:r>
    </w:p>
    <w:p>
      <w:pPr>
        <w:ind w:left="420"/>
      </w:pPr>
      <w:r>
        <w:t xml:space="preserve">12. anordnen, dass das Institut darlegt, wie und in welchem Zeitraum die in Absatz 1 genannten Anforderungen nachhaltig wieder erfüllt werden können (Restrukturierungsplan), es Nachbesserungen vornimmt und es der Aufsichtsbehörde und der Deutschen Bundesbank regelmäßig über den Fortschritt der hierzu ergriffenen Maßnahmen berichtet,</w:t>
      </w:r>
    </w:p>
    <w:p>
      <w:pPr>
        <w:ind w:left="420"/>
      </w:pPr>
      <w:r>
        <w:t xml:space="preserve">13. anordnen, dass das Kreditinstitut eine oder mehrere Handlungsoptionen aus einem Sanierungsplan nach § 13 des Sanierungs- und Abwicklungsgesetzes umsetzt,</w:t>
      </w:r>
    </w:p>
    <w:p>
      <w:pPr>
        <w:ind w:left="420"/>
      </w:pPr>
      <w:r>
        <w:t xml:space="preserve">14. anordnen, dass das Institut eine oder mehrere Maßnahmen aus einem Restrukturierungsplan nach Nummer 12 umsetzt,</w:t>
      </w:r>
    </w:p>
    <w:p>
      <w:pPr>
        <w:ind w:left="420"/>
      </w:pPr>
      <w:r>
        <w:t xml:space="preserve">15. anordnen, dass das Institut kurz-, mittel- oder langfristig bestehende ESG-Risiken, vor allem in Bezug auf die Ziele der Verordnung (EU) 2021/1119, verringert, indem es Anpassungen an seiner Geschäftsorganisation vornimmt, insbesondere an seiner Geschäftsstrategie, Risikostrategie, seinem Risikomanagement oder indem es seinen nach § 26d Absatz 1 zu erstellenden ESG-Risikoplan nachschärft, und</w:t>
      </w:r>
    </w:p>
    <w:p>
      <w:pPr>
        <w:ind w:left="420"/>
      </w:pPr>
      <w:r>
        <w:t xml:space="preserve">16. anordnen, dass das Institut Stresstests oder Szenarioanalysen durchführt, um die Risiken bewerten zu können, die sich aus Risikopositionen in Kryptowerten und aus der Erbringung von Kryptowerte-Dienstleistungen im Sinne des Artikels 3 Absatz 1 Nummer 16 der Verordnung (EU) 2023/1114 in der Fassung vom 13. Dezember 2023 ergeben.</w:t>
      </w:r>
    </w:p>
    <w:p>
      <w:r>
        <w:t xml:space="preserve">(3) Der Restrukturierungsplan nach Absatz 2 Nummer 12 muss transparent, plausibel und begründet sein. Im Restrukturierungsplan sind</w:t>
      </w:r>
    </w:p>
    <w:p>
      <w:pPr>
        <w:ind w:left="420"/>
      </w:pPr>
      <w:r>
        <w:t xml:space="preserve">1. konkrete Ziele, Zwischenziele und Fristen für die Umsetzung der dargelegten Maßnahmen zu benennen, die von der Aufsichtsbehörde überprüft werden können,</w:t>
      </w:r>
    </w:p>
    <w:p>
      <w:pPr>
        <w:ind w:left="420"/>
      </w:pPr>
      <w:r>
        <w:t xml:space="preserve">2. Verantwortlichkeiten zuzuweisen,</w:t>
      </w:r>
    </w:p>
    <w:p>
      <w:pPr>
        <w:ind w:left="420"/>
      </w:pPr>
      <w:r>
        <w:t xml:space="preserve">3. Berichtswege aufzuzeigen,</w:t>
      </w:r>
    </w:p>
    <w:p>
      <w:pPr>
        <w:ind w:left="420"/>
      </w:pPr>
      <w:r>
        <w:t xml:space="preserve">4. die Auswirkungen des Restrukturierungsplans auf die Eigenmittelausstattung einschließlich einer mittelfristigen Kapitalplanung darzulegen und</w:t>
      </w:r>
    </w:p>
    <w:p>
      <w:pPr>
        <w:ind w:left="420"/>
      </w:pPr>
      <w:r>
        <w:t xml:space="preserve">5. die bestehende Vermögens- und Ertragslage und deren geplante Entwicklung darzustellen.</w:t>
      </w:r>
    </w:p>
    <w:p>
      <w:r>
        <w:t xml:space="preserve">Die Aufsichtsbehörde kann jederzeit Einsicht in den Restrukturierungsplan und die zugehörigen Unterlagen nehmen. Die Aufsichtsbehörde kann die Änderung des Restrukturierungsplans verlangen und hierfür Vorgaben machen, soweit sie die angegebenen Ziele, Zwischenziele und Umsetzungsfristen für nicht ausreichend hält oder wenn sich für den Restrukturierungsplan wesentliche Umstände geändert haben oder das Institut die Ziele, Zwischenziele oder Umsetzungsfristen nicht einhalten kann.</w:t>
      </w:r>
    </w:p>
    <w:p>
      <w:r>
        <w:t xml:space="preserve">(4) Die Aufsichtsbehörde darf die in Absatz 2 Nummer 5 bis 11 und 13 bis 15 sowie Absatz 5 Satz 2 bezeichneten Anordnungen erst treffen, wenn das Institut oder die gemischte Finanzholding-Gesellschaft die Gefahrenlage gemäß Absatz 1 nicht innerhalb einer von der Aufsichtsbehörde zu bestimmenden Frist behoben hat. Soweit dies zur Verhinderung einer kurzfristig zu erwartenden Verschlechterung der Vermögens-, Finanz- oder Ertragsentwicklung des Instituts nach Absatz 1 erforderlich ist oder soweit bereits Maßnahmen nach Absatz 2 Nummer 1 bis 4 und 12 ergriffen wurden, sind solche Anordnungen auch ohne vorherige Fristsetzung zulässig.</w:t>
      </w:r>
    </w:p>
    <w:p>
      <w:r>
        <w:t xml:space="preserve">(5) Absatz 1, 2 Nummer 1 bis 7, 9 bis 12 und 14 bis 16 sowie Absatz 4 sind auf übergeordnete Unternehmen nach § 10a sowie auf Institute und Finanzholding-Gesellschaften, die nach Artikel 22 der Verordnung (EU) Nr. 575/2013 zur Teilkonsolidierung verpflichtet sind, entsprechend anzuwenden, wenn eine oder mehrere der in Absatz 1 aufgezählten Anforderungen auf zusammengefasster Basis nicht erfüllt werden oder zukünftig voraussichtlich nicht mehr erfüllt werden können. Bei einem gruppenangehörigen Institut, das nach § 2a Absatz 1 freigestellt ist, kann die Aufsichtsbehörde anordnen, dass die Vorschriften der Artikel 24 bis 403 der Verordnung (EU) Nr. 575/2013 entgegen der Freistellung ganz oder teilweise wieder anzuwenden sind.</w:t>
      </w:r>
    </w:p>
    <w:p>
      <w:r>
        <w:t xml:space="preserve">(6) Beschlüsse über eine Gewinnausschüttung sind nichtig, soweit sie einer Anordnung nach Absatz 2 oder 5 widersprechen. Aus Regelungen in Verträgen über Eigenmittelinstrumente können keine Rechte abgeleitet werden, soweit diese einer Anordnung nach Absatz 2 Nummer 5 bis 11 oder Nummer 13, 14 oder Absatz 5 widersprechen.</w:t>
      </w:r>
    </w:p>
    <w:p>
      <w:r>
        <w:t xml:space="preserve">(7) Bei einer Streichung des Gesamtbetrags der variablen Vergütung oder einer Untersagung der Auszahlung von variablen Vergütungsbestandteilen nach Absatz 2 Nummer 10 oder 11 kann die Aufsichtsbehörde anordnen, dass die Ansprüche auf Gewährung variabler Vergütungsbestandteile ganz oder teilweise erlöschen, wenn bei Untersagung der Auszahlung oder innerhalb eines Zeitraums von zwei Jahren nach Untersagung der Auszahlung</w:t>
      </w:r>
    </w:p>
    <w:p>
      <w:pPr>
        <w:ind w:left="420"/>
      </w:pPr>
      <w:r>
        <w:t xml:space="preserve">1. das Institut außerordentliche staatliche Unterstützung in Anspruch nimmt und die Voraussetzungen für die Untersagung der Auszahlung bis zu diesem Zeitpunkt nicht weggefallen sind oder allein aufgrund dieser Maßnahmen weggefallen sind,</w:t>
      </w:r>
    </w:p>
    <w:p>
      <w:pPr>
        <w:ind w:left="420"/>
      </w:pPr>
      <w:r>
        <w:t xml:space="preserve">2. eine Anordnung der Aufsichtsbehörde nach Absatz 2 Nummer 5 bis 11 und 13 bis 15 besteht oder getroffen wird oder</w:t>
      </w:r>
    </w:p>
    <w:p>
      <w:pPr>
        <w:ind w:left="420"/>
      </w:pPr>
      <w:r>
        <w:t xml:space="preserve">3. Maßnahmen nach § 46 getroffen werden oder eine Abwicklungsanordnung im Sinne des § 77 des Sanierungs- und Abwicklungsgesetzes ergangen ist.</w:t>
      </w:r>
    </w:p>
    <w:p>
      <w:r>
        <w:t xml:space="preserve">Eine solche Anordnung soll insbesondere ergehen, wenn</w:t>
      </w:r>
    </w:p>
    <w:p>
      <w:pPr>
        <w:ind w:left="420"/>
      </w:pPr>
      <w:r>
        <w:t xml:space="preserve">1. die Ansprüche auf Gewährung variabler Vergütungsbestandteile aufgrund solcher Regelungen eines Vergütungssystems eines Instituts entstanden sind, die den Anforderungen nach § 25a Absatz 1 Satz 3 Nummer 6 widersprechen, oder</w:t>
      </w:r>
    </w:p>
    <w:p>
      <w:pPr>
        <w:ind w:left="420"/>
      </w:pPr>
      <w:r>
        <w:t xml:space="preserve">2. anzunehmen ist, dass ohne die außerordentliche staatliche Unterstützung das Institut nicht in der Lage gewesen wäre, die variablen Vergütungsbestandteile zu gewähren.</w:t>
      </w:r>
    </w:p>
    <w:p>
      <w:r>
        <w:t xml:space="preserve">Ist anzunehmen, dass das Institut einen Teil der variablen Vergütungsbestandteile hätte gewähren können, sind die variablen Vergütungsbestandteile angemessen zu kürzen.</w:t>
      </w:r>
    </w:p>
    <w:p>
      <w:r>
        <w:t xml:space="preserve">(8) Liegen die Voraussetzungen nach Absatz 7 Satz 1 und 2 vor, kann die Aufsichtsbehörde gegenüber dem Institut auch anordnen, dass das Institut sämtliche nach § 25a Absatz 5 Satz 4 dieses Gesetzes und nach § 20 Absatz 1 und 2 der Institutsvergütungsverordnung zurückbehaltenen variablen Vergütungen von Geschäftsleitern und Mitarbeitern kürzt oder streicht. Die Aufsichtsbehörde kann Anordnungen nach Absatz 2 Nummer 10 und 11 und nach Absatz 7 Satz 1 auch treffen, wenn ein Institut außerordentliche staatliche Unterstützung in Anspruch nimmt und die Anordnung zur Erhaltung einer soliden Eigenkapital- oder Liquiditätsausstattung oder zu einer frühzeitigen Beendigung der staatlichen Unterstützung geboten ist. Nimmt ein Institut staatliche Unterstützung in Anspruch, kann die Aufsichtsbehörde außerdem die Auszahlung von variablen Vergütungsbestandteilen an Geschäftsleiter des Instituts ganz oder teilweise untersagen und das Erlöschen der entsprechenden Ansprüche anordnen. Ansprüche auf variable Vergütung, die vor dem 1. Januar 2011 entstanden sind, können weder nach Absatz 7 noch nach den Sätzen 1 und 2 gekürzt oder gestrichen werden. Satz 3 ist nicht auf Ansprüche auf variable Vergütung anwendbar, die vor dem 1. Januar 2012 entstanden sind.</w:t>
      </w:r>
    </w:p>
    <w:p>
      <w:r>
        <w:t xml:space="preserve">(9) Institute müssen der Möglichkeit einer Anordnung nach Absatz 2 Nummer 10 und 11 und nach den Absätzen 7 und 8 Satz 1 bis 3 in vertraglichen Vereinbarungen mit ihren Geschäftsleitern und Mitarbeitern Rechnung tragen. Soweit vertragliche Vereinbarungen über die Gewährung einer variablen Vergütung einer Anordnung nach Satz 1 entgegenstehen, können aus ihnen keine Rechte abgeleitet werden.</w:t>
      </w:r>
    </w:p>
    <w:p>
      <w:r>
        <w:t xml:space="preserve">(10) Die Aufsichtsbehörde kann eine Maßnahme nach den Absätzen 1 bis 8 gegenüber einem in § 10 Absatz 4 Satz 1 aufgeführten Unternehmen oder einer dort aufgeführten Gruppe auch anordnen, wenn dieses oder diese die nach § 10 Absatz 4 angeordneten erhöhten Kapitalanforderungen nicht erfüllt.</w:t>
      </w:r>
    </w:p>
    <w:p>
      <w:r>
        <w:t xml:space="preserve">(11) Zur Umsetzung der Anordnungen nach Absatz 8 oder § 10 Absatz 4 gelten für Beschlussfassungen der Anteilsinhaberversammlung des Instituts, die Kapitalmaßnahmen betreffen, die §§ 7 bis 7f, 9, 10, 12, 13 und 15 des Wirtschaftsstabilisierungsbeschleunigungsgesetzes entsprechend. Dies gilt auch dann, wenn andere private oder öffentliche Stellen als der Finanzmarktstabilisierungsfonds zur Erreichung der Kapitalanforderungen teilweise oder vollständig beitragen.</w:t>
      </w:r>
    </w:p>
    <w:p>
      <w:r>
        <w:rPr>
          <w:color w:val="555555"/>
          <w:sz w:val="17"/>
        </w:rPr>
        <w:t xml:space="preserve">Zitiervorschlag: § 45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