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44b KredWG — Auskünfte und Prüfungen bei Inhabern bedeutender Beteiligungen</w:t>
      </w:r>
    </w:p>
    <w:p>
      <w:r>
        <w:rPr>
          <w:color w:val="555555"/>
          <w:sz w:val="18"/>
        </w:rPr>
        <w:t xml:space="preserve">Kreditwesengesetz</w:t>
      </w:r>
    </w:p>
    <w:p>
      <w:r>
        <w:rPr>
          <w:color w:val="555555"/>
          <w:sz w:val="18"/>
        </w:rPr>
        <w:t xml:space="preserve">Stand: 01.04.2026 (konsolidierte Textfassung, kein amtliches Inkrafttretensdatum)</w:t>
      </w:r>
    </w:p>
    <w:p>
      <w:r>
        <w:t xml:space="preserve">(1) Die Verpflichtungen nach § 44 Absatz 1 Satz 1 gegenüber der Bundesanstalt und der Deutschen Bundesbank zur Auskunft und Vorlegung von Unterlagen gelten auch für</w:t>
      </w:r>
    </w:p>
    <w:p>
      <w:pPr>
        <w:ind w:left="420"/>
      </w:pPr>
      <w:r>
        <w:t xml:space="preserve">1. Personen und Unternehmen, die eine Beteiligungsabsicht nach § 2c anzeigen oder die im Rahmen eines Erlaubnisantrags nach § 32 Absatz 1 Satz 5 Nummer 6 oder einer Ergänzungsanzeige nach § 64e Absatz 2 Satz 4 als Inhaber bedeutender Beteiligungen angegeben werden,</w:t>
      </w:r>
    </w:p>
    <w:p>
      <w:pPr>
        <w:ind w:left="420"/>
      </w:pPr>
      <w:r>
        <w:t xml:space="preserve">2. die Inhaber einer bedeutenden Beteiligung an einem Institut und den von ihnen kontrollierten Unternehmen,</w:t>
      </w:r>
    </w:p>
    <w:p>
      <w:pPr>
        <w:ind w:left="420"/>
      </w:pPr>
      <w:r>
        <w:t xml:space="preserve">3. Personen und Unternehmen, bei denen Tatsachen die Annahme rechtfertigen, dass es sich um Personen oder Unternehmen im Sinne der Nummer 2 handelt, und</w:t>
      </w:r>
    </w:p>
    <w:p>
      <w:pPr>
        <w:ind w:left="420"/>
      </w:pPr>
      <w:r>
        <w:t xml:space="preserve">4. Personen und Unternehmen, die mit einer Person oder einem Unternehmen im Sinne der Nummern 1 bis 3 nach § 15 des Aktiengesetzes verbunden sind.</w:t>
      </w:r>
    </w:p>
    <w:p>
      <w:r>
        <w:t xml:space="preserve">Auf Verlangen der Bundesanstalt hat der Vorlagepflichtige die einzureichenden Unterlagen gemäß § 2c Absatz 1 Satz 2 auf seine Kosten durch einen von der Bundesanstalt zu bestimmenden Wirtschaftsprüfer prüfen zu lassen. Die Auskunfts- und Vorlegungspflichten nach § 44 Absatz 1 Satz 1 gegenüber der Bundesanstalt und der Deutschen Bundesbank zur Auskunft und Vorlegung von Unterlagen bestehen auch für die bei nach Satz 1 auskunfts- und vorlegungspflichtigen Personen oder Unternehmen Beschäftigten sowie für die Mitglieder eines Organs, jeweils auch nach ihrem Ausscheiden aus dem Organ oder Unternehmen.</w:t>
      </w:r>
    </w:p>
    <w:p>
      <w:r>
        <w:t xml:space="preserve">(2) Die Bundesanstalt und die Deutsche Bundesbank können Maßnahmen nach § 44 Absatz 1 Satz 3 bis 5 gegenüber den in Absatz 1 genannten Personen und Unternehmen ergreifen, wenn Anhaltspunkte für einen Untersagungsgrund nach § 2c Absatz 1b Satz 1 Nummer 1 bis 6 vorliegen. Die Betroffenen haben diese Maßnahmen zu dulden.</w:t>
      </w:r>
    </w:p>
    <w:p>
      <w:r>
        <w:t xml:space="preserve">(3) Wer nach Absatz 1 oder 2 zur Erteilung einer Auskunft verpflichtet ist, kann die Auskunft auf solche Fragen verweigern, deren Beantwortung ihn selbst oder einen der in § 383 Absatz 1 Nummer 1 bis 3 der Zivilprozessordnung bezeichneten Angehörigen der Gefahr strafrechtlicher Verfolgung oder eines Verfahrens nach dem Gesetz über Ordnungswidrigkeiten aussetzen würde.</w:t>
      </w:r>
    </w:p>
    <w:p>
      <w:r>
        <w:t xml:space="preserve">(4) Die Bediensteten der Bundesanstalt und der Deutschen Bundesbank dürfen die Räume der nach Absatz 1 auskunfts- und vorlegungspflichtigen Unternehmen sowie von deren Organmitgliedern auch nach ihrem Ausscheiden durchsuchen. § 44 Absatz 5 gilt entsprechend. Die Betroffenen haben Maßnahmen nach Satz 1 zu dulden.</w:t>
      </w:r>
    </w:p>
    <w:p>
      <w:r>
        <w:t xml:space="preserve">(5) Die Bediensteten der Bundesanstalt und der Deutschen Bundesbank dürfen Gegenstände sicherstellen, die als Beweismittel für die Ermittlung des Sachverhalts von Bedeutung sein können. Werden die Gegenstände für das Verwaltungsverfahren nicht mehr benötigt, so werden diese an den letzten Gewahrsamsinhaber herausgegeben. Die Betroffenen haben Maßnahmen nach Satz 1 zu dulden.</w:t>
      </w:r>
    </w:p>
    <w:p>
      <w:r>
        <w:rPr>
          <w:color w:val="555555"/>
          <w:sz w:val="17"/>
        </w:rPr>
        <w:t xml:space="preserve">Zitiervorschlag: § 44b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