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KredWG — Auskünfte und Prüfungen von Instituten, Anbietern von Nebendienstleistungen, Finanzholding-Gesellschaften, gemischten Finanzholding-Gesellschaften und anderen Unternehmen</w:t>
      </w:r>
    </w:p>
    <w:p>
      <w:r>
        <w:rPr>
          <w:color w:val="555555"/>
          <w:sz w:val="18"/>
        </w:rPr>
        <w:t xml:space="preserve">Kreditwesengesetz</w:t>
      </w:r>
    </w:p>
    <w:p>
      <w:r>
        <w:rPr>
          <w:color w:val="555555"/>
          <w:sz w:val="18"/>
        </w:rPr>
        <w:t xml:space="preserve">Stand: 01.04.2026 (konsolidierte Textfassung, kein amtliches Inkrafttretensdatum)</w:t>
      </w:r>
    </w:p>
    <w:p>
      <w:r>
        <w:t xml:space="preserve">(1) Ein Institut oder ein übergeordnetes Unternehmen, die Mitglieder deren Organe und deren Beschäftigte haben der Bundesanstalt, den Personen und Einrichtungen, deren sich die Bundesanstalt bei der Durchführung ihrer Aufgaben bedient, sowie der Deutschen Bundesbank auf Verlangen Auskünfte über alle Geschäftsangelegenheiten zu erteilen, Unterlagen vorzulegen und erforderlichenfalls Kopien anzufertigen; dies gilt auch für Auslagerungsunternehmen, für die Mitglieder von deren Organen und für deren Beschäftigte, soweit Aktivitäten und Prozesse betroffen sind, die ein Institut oder übergeordnetes Unternehmen ausgelagert hat. Mitglieder eines Organs und Beschäftigte der Institute, übergeordneten Unternehmen oder Auslagerungsunternehmen haben auf Verlangen auch nach ihrem Ausscheiden aus dem Organ, dem Institut oder dem Unternehmen Auskunft zu erteilen und Unterlagen vorzulegen. Die Bundesanstalt kann, auch ohne besonderen Anlass, bei den Instituten, übergeordneten Unternehmen und Auslagerungsunternehmen, soweit ein Institut oder ein übergeordnetes Unternehmen wesentliche Aktivitäten und Prozesse im Sinne des § 25b Absatz 1 Satz 1 ausgelagert hat oder es sich um eine Auslagerung nach § 25h Absatz 4 oder Übertragung nach § 6 Absatz 7 oder § 17 Absatz 1 oder 5 des Geldwäschegesetzes handelt, Prüfungen vornehmen und die Durchführung der Prüfungen der Deutschen Bundesbank übertragen. Die Bediensteten der Bundesanstalt, der Deutschen Bundesbank sowie die sonstigen Personen, deren sich die Bundesanstalt bei der Durchführung der Prüfungen bedient, können hierzu die Räume des Instituts, des Auslagerungsunternehmens und des übergeordneten Unternehmens innerhalb der üblichen Betriebs- und Geschäftszeiten betreten und besichtigen. Zur Verhütung dringender Gefahren für die öffentliche Sicherheit sind sie befugt, diese Räume auch außerhalb der üblichen Betriebs- und Geschäftszeiten zu betreten und zu besichtigen sowie auch Räume, die auch als Wohnung dienen, zu betreten und zu besichtigen; das Grundrecht auf Unverletzlichkeit der Wohnung (Artikel 13 Absatz 1 des Grundgesetzes) wird insoweit eingeschränkt. Die Betroffenen haben Maßnahmen nach den Sätzen 3 bis 5 zu dulden. Auskünfte sind auf Verlangen der Bundesanstalt oder der Deutschen Bundesbank auch mündlich zu erteilen.</w:t>
      </w:r>
    </w:p>
    <w:p>
      <w:r>
        <w:t xml:space="preserve">(1a) Soweit eine zentrale Gegenpartei unter den Voraussetzungen des Artikels 35 Absatz 1 der Verordnung (EU) Nr. 648/2012 operationelle Funktionen, Dienstleistungen oder Tätigkeiten auf ein Unternehmen auslagert, sind die Befugnisse der Bundesanstalt nach Absatz 1 Satz 3 bis 5 auch auf dieses Unternehmen sowie auf dessen Mitglieder eines Organs, Beschäftigte und Auslagerungsunternehmen entsprechend anwendbar; Absatz 1 Satz 6 gilt entsprechend.</w:t>
      </w:r>
    </w:p>
    <w:p>
      <w:r>
        <w:t xml:space="preserve">(1b) Originatoren und ursprüngliche Kreditgeber, soweit sie keine Institute sind, sowie Verbriefungszweckgesellschaften und gemäß Artikel 28 Absatz 1 der Verordnung (EU) 2017/2402 zugelassene Dritte haben der Bundesanstalt Auskünfte entsprechend den Absätzen 1 und 6 zu erteilen. Der Bundesanstalt stehen die in Absatz 1 genannten Prüfungsbefugnisse entsprechend zu.</w:t>
      </w:r>
    </w:p>
    <w:p>
      <w:r>
        <w:t xml:space="preserve">(2) Ein nachgeordnetes Unternehmen im Sinne des § 10a, eine Finanzholding-Gesellschaft, eine gemischte Finanzholding-Gesellschaft oder eine gemischte Holding-Gesellschaft sowie ein Mitglied eines Organs eines solchen Unternehmens haben der Bundesanstalt, den Personen und Einrichtungen, deren sich die Bundesanstalt bei der Durchführung ihrer Aufgaben bedient, sowie der Deutschen Bundesbank auf Verlangen Auskünfte zu erteilen, Unterlagen vorzulegen und erforderlichenfalls Kopien anzufertigen; Mitglieder eines Organs und Beschäftigte haben auf Verlangen auch nach ihrem Ausscheiden aus dem Organ oder dem Unternehmen Auskunft zu erteilen und Unterlagen vorzulegen. Die Bundesanstalt kann, auch ohne besonderen Anlass, bei den in Satz 1 genannten Unternehmen Prüfungen vornehmen und die Durchführung der Prüfungen der Deutschen Bundesbank übertragen; Absatz 1 Satz 2 Halbsatz 2 gilt entsprechend. Die Bediensteten der Bundesanstalt, der Deutschen Bundesbank sowie der sonstigen Personen, deren sich die Bundesanstalt bei der Durchführung der Prüfungen bedient, können hierzu die Räume der Unternehmen innerhalb der üblichen Betriebs- und Geschäftszeiten betreten und besichtigen. Zur Verhütung dringender Gefahren für die öffentliche Sicherheit sind sie befugt, diese Räume auch außerhalb der üblichen Betriebs- und Geschäftszeiten zu betreten und zu besichtigen sowie Räume, die auch als Wohnung dienen, zu betreten und zu besichtigen; das Grundrecht auf Unverletzlichkeit der Wohnung (Artikel 13 Absatz 1 des Grundgesetzes) wird insoweit eingeschränkt. Die Betroffenen haben Maßnahmen nach den Sätzen 2 bis 4 zu dulden. Die Sätze 1 bis 5 gelten entsprechend</w:t>
      </w:r>
    </w:p>
    <w:p>
      <w:pPr>
        <w:ind w:left="420"/>
      </w:pPr>
      <w:r>
        <w:t xml:space="preserve">1. für nicht in die Zusammenfassung einbezogene Tochterunternehmen,</w:t>
      </w:r>
    </w:p>
    <w:p>
      <w:pPr>
        <w:ind w:left="420"/>
      </w:pPr>
      <w:r>
        <w:t xml:space="preserve">2. für eine gemischte Holding-Gesellschaft und deren Tochterunternehmen sowie</w:t>
      </w:r>
    </w:p>
    <w:p>
      <w:pPr>
        <w:ind w:left="420"/>
      </w:pPr>
      <w:r>
        <w:t xml:space="preserve">3. für Dritte, für die Mitglieder von deren Organen und für deren Beschäftigte, soweit Aktivitäten und Prozesse betroffen sind, die ein in Nummer 2 oder ein in Satz 1 genanntes Unternehmen an solche Dritte ausgelagert hat.</w:t>
      </w:r>
    </w:p>
    <w:p>
      <w:r>
        <w:t xml:space="preserve">(2a) Benötigt die Bundesanstalt bei der Aufsicht über eine Institutsgruppe, Finanzholding-Gruppe, eine gemischte Finanzholding-Gruppe oder gemischte Holding-Gruppe Informationen, die bereits einer anderen zuständigen Stelle vorliegen, richtet sie ihr Auskunftsersuchen zunächst an diese zuständige Stelle. Bei der Aufsicht über Institute, die einem EU-Mutterinstitut nach § 10a nachgeordnet sind, richtet die Bundesanstalt Auskunftsersuchen zur Umsetzung der Ansätze und Methoden nach der Richtlinie 2013/36/EU regelmäßig zunächst an die für die Aufsicht auf zusammengefasster Basis zuständige Stelle.</w:t>
      </w:r>
    </w:p>
    <w:p>
      <w:r>
        <w:t xml:space="preserve">(3) Die in die Zusammenfassung einbezogenen Unternehmen mit Sitz im Ausland haben der Bundesanstalt auf Verlangen die nach diesem Gesetz zulässigen Prüfungen zu gestatten, insbesondere die Überprüfung der Richtigkeit der für die Zusammenfassung nach § 10a Absatz 4 bis 7, § 25 Absatz 2 und 3 und nach den Artikeln 11 bis 17 der Verordnung (EU) Nr. 575/2013 in ihrer jeweils geltenden Fassung übermittelten Daten, soweit dies zur Erfüllung der Aufgaben der Bundesanstalt erforderlich und nach dem Recht des anderen Staates zulässig ist. Dies gilt auch für nicht in die Zusammenfassung einbezogene Tochterunternehmen mit Sitz im Ausland.</w:t>
      </w:r>
    </w:p>
    <w:p>
      <w:r>
        <w:t xml:space="preserve">(3a) (weggefallen)</w:t>
      </w:r>
    </w:p>
    <w:p>
      <w:r>
        <w:t xml:space="preserve">(4) Die Bundesanstalt kann zu den Hauptversammlungen, Generalversammlungen oder Gesellschafterversammlungen sowie zu den Sitzungen der Aufsichtsorgane bei Instituten, Finanzholding-Gesellschaften oder gemischten Finanzholding-Gesellschaften in der Rechtsform einer juristischen Person Vertreter entsenden. Diese können in der Versammlung oder Sitzung das Wort ergreifen. Im Fall der virtuellen Hauptversammlung nach § 118a des Aktiengesetzes sind die Vertreter im Wege der Videokommunikation zu der Versammlung zuzuschalten und können über die Videokommunikation das Wort ergreifen. Nach § 130a Absatz 1 und 2 des Aktiengesetzes eingereichte Stellungnahmen, nach § 131 Absatz 1a und 1b des Aktiengesetzes eingereichte Fragen sowie die zu diesen Fragen vor der Versammlung gegebenen Antworten sind den Vertretern zugänglich zu machen. Die Vertreter dürfen anstelle der Zuschaltung im Wege der Videokommunikation am Ort der Hauptversammlung teilnehmen, sofern sie dies für erforderlich halten. Die Betroffenen haben Maßnahmen nach den Sätzen 1 bis 5 zu dulden.</w:t>
      </w:r>
    </w:p>
    <w:p>
      <w:r>
        <w:t xml:space="preserve">(5) Die Bediensteten der Bundesanstalt und der Deutschen Bundesbank dürfen die Räume der nach Absatz 1 Satz 1 erster Halbsatz auskunfts- und vorlegungspflichtigen Unternehmen sowie von deren Organmitgliedern auch nach ihrem Ausscheiden durchsuchen, wenn Tatsachen die Annahme rechtfertigen, dass das Unternehmen oder das Organmitglied entgegen einer Bestimmung dieses Gesetzes oder einer vollziehbaren Einzelfallregelung auf Grundlage dieses Gesetzes die Aufklärung eines für die Aufsicht nach Maßgabe dieses Gesetzes entscheidungsrelevanten Sachverhalts beeinträchtigt, gefährdet oder verzögert, dadurch dass sie oder es</w:t>
      </w:r>
    </w:p>
    <w:p>
      <w:pPr>
        <w:ind w:left="420"/>
      </w:pPr>
      <w:r>
        <w:t xml:space="preserve">1. Angaben nicht, nicht richtig, nicht vollständig oder nicht rechtzeitig macht oder</w:t>
      </w:r>
    </w:p>
    <w:p>
      <w:pPr>
        <w:ind w:left="420"/>
      </w:pPr>
      <w:r>
        <w:t xml:space="preserve">2. Unterlagen nicht, nicht richtig, nicht vollständig oder nicht rechtzeitig vorlegt.</w:t>
      </w:r>
    </w:p>
    <w:p>
      <w:r>
        <w:t xml:space="preserve">Die Durchsuchungen sind, außer bei Gefahr im Verzug, durch den Richter anzuordnen. Bei Gefahr im Verzug kann die Einsatzleitung der Bundesanstalt die Anordnung treffen, soweit nicht lediglich mit einer nur unerheblichen Verzögerung zu rechnen ist. Durchsuchungen von Räumen, die als Wohnung dienen, sind immer durch den Richter anzuordnen. Das Grundrecht auf Unverletzlichkeit der Wohnung (Artikel 13 Absatz 1 des Grundgesetzes) wird insoweit eingeschränkt. Zuständig ist das Amtsgericht, in dessen Bezirk sich die Räume befinden. Gegen die richterliche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richterliche Anordnung ergangen ist, auch die Tatsachen, welche die Annahme einer Gefahr im Verzug begründet haben, enthalten. Die Betroffenen haben Maßnahmen nach Satz 1 zu dulden.</w:t>
      </w:r>
    </w:p>
    <w:p>
      <w:r>
        <w:t xml:space="preserve">(6) Die Bediensteten der Bundesanstalt und der Deutschen Bundesbank dürfen Gegenstände sicherstellen, die als Beweismittel für die Ermittlung des Sachverhalts von Bedeutung sein können. Werden die Gegenstände für das Verwaltungsverfahren nicht mehr benötigt, so werden diese an den letzten Gewahrsamsinhaber herausgegeben. Die Betroffenen haben Maßnahmen nach Satz 1 zu dulden.</w:t>
      </w:r>
    </w:p>
    <w:p>
      <w:r>
        <w:t xml:space="preserve">(7) Die Institute, Finanzholding-Gesellschaften und gemischten Finanzholding-Gesellschaften in der Rechtsform einer juristischen Person haben auf Verlangen der Bundesanstalt die Einberufung der in Absatz 4 Satz 1 bezeichneten Versammlungen, die Anberaumung von Sitzungen der Verwaltungs- und Aufsichtsorgane sowie die Ankündigung von Gegenständen zur Beschlußfassung vorzunehmen. Die Bundesanstalt kann zu einer nach Satz 1 anberaumten Sitzung Vertreter entsenden. Diese können in der Sitzung das Wort ergreifen. Absatz 4 Satz 3 bis 5 gilt entsprechend. Die Betroffenen haben Maßnahmen nach den Sätzen 2 bis 4 zu dulden. Absatz 4 bleibt unberührt.</w:t>
      </w:r>
    </w:p>
    <w:p>
      <w:r>
        <w:t xml:space="preserve">(8) Die Bundesanstalt und die Deutsche Bundesbank können bei Auskunfts- und Vorlageersuchen nach dieser Vorschrift eine elektronische Einreichung verlangen. Sie können nähere Bestimmungen über Art und Weise der Übermittlung festlegen.</w:t>
      </w:r>
    </w:p>
    <w:p>
      <w:r>
        <w:t xml:space="preserve">(9)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rPr>
          <w:color w:val="555555"/>
          <w:sz w:val="17"/>
        </w:rPr>
        <w:t xml:space="preserve">Zitiervorschlag: § 44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