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KredWG — Maßnahmen gegen Geschäftsleiter und Mitglieder des Verwaltungs- oder Aufsichtsorgans</w:t>
      </w:r>
    </w:p>
    <w:p>
      <w:r>
        <w:rPr>
          <w:color w:val="555555"/>
          <w:sz w:val="18"/>
        </w:rPr>
        <w:t xml:space="preserve">Kreditwesengesetz</w:t>
      </w:r>
    </w:p>
    <w:p>
      <w:r>
        <w:rPr>
          <w:color w:val="555555"/>
          <w:sz w:val="18"/>
        </w:rPr>
        <w:t xml:space="preserve">Stand: 01.04.2026 (konsolidierte Textfassung, kein amtliches Inkrafttretensdatum)</w:t>
      </w:r>
    </w:p>
    <w:p>
      <w:r>
        <w:t xml:space="preserve">(1) In den Fällen des § 35 Absatz 2 Nummer 3, 4 und 6 kann die Bundesanstalt, statt die Erlaubnis aufzuheben, die Abberufung der verantwortlichen Geschäftsleiter verlangen und diesen Geschäftsleitern auch die Ausübung ihrer Tätigkeit bei Instituten oder Unternehmen in der Rechtsform einer juristischen Person untersagen. Für die Zwecke des Satzes 1 ist § 35 Absatz 2 Nummer 4 mit der Maßgabe anzuwenden, dass bei der Berechnung der Höhe des Verlustes Bilanzierungshilfen, mittels derer ein Verlustausweis vermindert oder vermieden wird, nicht berücksichtigt werden. Im Falle eines Verstoßes gegen die §§ 25i, 25k oder 25m oder gegen die Verordnung (EU) 2023/1113 kann die Bundesanstalt den dafür verantwortlichen Geschäftsleitern auch die Ausübung ihrer Tätigkeit bei Verpflichteten nach § 2 Absatz 1 des Geldwäschegesetzes untersagen.</w:t>
      </w:r>
    </w:p>
    <w:p>
      <w:r>
        <w:t xml:space="preserve">(1a) In den Fällen des Artikels 20 Absatz 1 Buchstabe b bis d der Verordnung (EU) Nr. 648/2012 kann die Bundesanstalt, statt die Erlaubnis aufzuheben, die Abberufung der verantwortlichen Geschäftsleiter verlangen und diesen Geschäftsleitern auch die Ausübung ihrer Tätigkeit bei Instituten in der Rechtsform einer juristischen Person untersagen. Die Bundesanstalt kann eine Abberufung auch verlangen, wenn die Voraussetzungen des Artikels 27 Absatz 1 der Verordnung (EU) Nr. 648/2012 nicht gegeben sind oder die Voraussetzungen des Artikels 31 Absatz 1 der Verordnung (EU) Nr. 648/2012 vorliegen.</w:t>
      </w:r>
    </w:p>
    <w:p>
      <w:r>
        <w:t xml:space="preserve">(1b) In den Fällen des Artikels 20 Absatz 1 Buchstabe b bis d oder des Artikels 57 Absatz 1 Buchstabe b bis d der Verordnung (EU) Nr. 909/2014 kann die Bundesanstalt, statt die Zulassung nach Artikel 20 der Verordnung (EU) Nr. 909/2014 oder die Genehmigung nach Artikel 57 der Verordnung (EU) Nr. 909/2014 zu entziehen, die Abberufung der verantwortlichen Geschäftsleiter verlangen und diesen Geschäftsleitern auch die Ausübung ihrer Tätigkeit bei Instituten in der Rechtsform einer juristischen Person untersagen. Die Bundesanstalt kann eine Abberufung auch dann verlangen, wenn die Voraussetzungen des Artikels 27 der Verordnung (EU) Nr. 909/2014 nicht gegeben sind.</w:t>
      </w:r>
    </w:p>
    <w:p>
      <w:r>
        <w:t xml:space="preserve">(2) Die Aufsichtsbehörde kann einen Geschäftsleiter verwarnen, wenn dieser gegen die Bestimmungen dieses Gesetzes, der Verordnung (EU) Nr. 575/2013, der Verordnung (EU) Nr. 648/2012, der Verordnung (EU) Nr. 596/2014, der Verordnung (EU) Nr. 600/2014, der Verordnung (EU) Nr. 909/2014, der Verordnung (EU) 2015/2365, der Verordnung (EU) 2016/1011, des Gesetzes über Bausparkassen, des Depotgesetzes, des Geldwäschegesetzes, des Kapitalanlagegesetzbuchs, des Pfandbriefgesetzes, des Zahlungsdiensteaufsichtsgesetzes oder des Wertpapierhandelsgesetzes, gegen die Artikel 6, 7, 9, 18 bis 26, 26b bis 26e oder 27 Absatz 1 oder 4 der Verordnung (EU) 2017/2402, gegen die Vorschriften, auf die in § 120a Absatz 1 und 2 des Wertpapierhandelsgesetzes Bezug genommen wird, gegen die zur Durchführung der genannten Gesetze erlassenen Verordnungen, die zur Durchführung der Richtlinie 2013/36/EU und der Verordnung (EU) Nr. 575/2013 erlassenen Rechtsakte, die zur Durchführung der Verordnung (EU) Nr. 648/2012, der Verordnung (EU) Nr. 596/2014, der Verordnung (EU) Nr. 600/2014, der Verordnung (EU) Nr. 909/2014, der Verordnung (EU) 2015/2365, der Verordnung (EU) 2016/1011, der Verordnung (EU) 2017/2402 oder der in § 120a Absatz 1 und 2 des Wertpapierhandelsgesetzes genannten Vorschriften erlassenen Rechtsakte oder gegen Anordnungen der Aufsichtsbehörde verstoßen hat. Gegenstand der Verwarnung ist die Feststellung des entscheidungserheblichen Sachverhaltes und des hierdurch begründeten Verstoßes. Die Aufsichtsbehörde kann auch die Abberufung eines Geschäftsleiters verlangen und diesem Geschäftsleiter die Ausübung seiner Tätigkeit bei Instituten oder Unternehmen in der Rechtsform einer juristischen Person untersagen, wenn dieser gegen die in Satz 1 genannten Rechtsakte oder gegen Anordnungen der Aufsichtsbehörde verstoßen hat und trotz Verwarnung nach Satz 1 dieses Verhalten vorsätzlich oder leichtfertig fortsetzt.</w:t>
      </w:r>
    </w:p>
    <w:p>
      <w:r>
        <w:t xml:space="preserve">(3) Die Bundesanstalt kann von den in § 25d Absatz 3 Satz 1 und 2 sowie § 25d Absatz 3a Satz 1 genannten Unternehmen die Abberufung einer der in § 25d Absatz 3 Satz 1 und 2 sowie § 25d Absatz 3a Satz 1 bezeichneten Person verlangen und einer solchen Person die Ausübung ihrer Tätigkeit untersagen, wenn</w:t>
      </w:r>
    </w:p>
    <w:p>
      <w:pPr>
        <w:ind w:left="420"/>
      </w:pPr>
      <w:r>
        <w:t xml:space="preserve">1. Tatsachen vorliegen, aus denen sich ergibt, dass die Person nicht zuverlässig ist,</w:t>
      </w:r>
    </w:p>
    <w:p>
      <w:pPr>
        <w:ind w:left="420"/>
      </w:pPr>
      <w:r>
        <w:t xml:space="preserve">2. Tatsachen vorliegen, aus denen sich ergibt, dass die Person nicht die erforderliche Sachkunde besitzt,</w:t>
      </w:r>
    </w:p>
    <w:p>
      <w:pPr>
        <w:ind w:left="420"/>
      </w:pPr>
      <w:r>
        <w:t xml:space="preserve">3. Tatsachen vorliegen, aus denen sich ergibt, dass die Person der Wahrnehmung ihrer Aufgaben nicht ausreichend Zeit widmet,</w:t>
      </w:r>
    </w:p>
    <w:p>
      <w:pPr>
        <w:ind w:left="420"/>
      </w:pPr>
      <w:r>
        <w:t xml:space="preserve">4. der Person wesentliche Verstöße des Unternehmens gegen die Grundsätze einer ordnungsgemäßen Geschäftsführung wegen sorgfaltswidriger Ausübung ihrer Überwachungs- und Kontrollfunktion verborgen geblieben sind und sie dieses sorgfaltswidrige Verhalten trotz Verwarnung durch die Bundesanstalt fortsetzt,</w:t>
      </w:r>
    </w:p>
    <w:p>
      <w:pPr>
        <w:ind w:left="420"/>
      </w:pPr>
      <w:r>
        <w:t xml:space="preserve">5. die Person nicht alles Erforderliche zur Beseitigung festgestellter Verstöße veranlasst hat und dies trotz Verwarnung durch die Bundesanstalt auch weiterhin unterlässt,</w:t>
      </w:r>
    </w:p>
    <w:p>
      <w:pPr>
        <w:ind w:left="420"/>
      </w:pPr>
      <w:r>
        <w:t xml:space="preserve">6. die Person bereits Geschäftsleiter desselben Unternehmens ist,</w:t>
      </w:r>
    </w:p>
    <w:p>
      <w:pPr>
        <w:ind w:left="420"/>
      </w:pPr>
      <w:r>
        <w:t xml:space="preserve">7. die Person Geschäftsleiter desselben Unternehmens war und bereits zwei ehemalige Geschäftsleiter des Unternehmens Mitglied des Verwaltungs- oder Aufsichtsorgans sind,</w:t>
      </w:r>
    </w:p>
    <w:p>
      <w:pPr>
        <w:ind w:left="420"/>
      </w:pPr>
      <w:r>
        <w:t xml:space="preserve">8. die nach § 25d Absatz 3 Satz 1 oder Satz 2 bezeichnete Person mehr als vier Kontrollmandate ausübt und die Bundesanstalt ihr nicht die Ausübung weiterer Mandate gestattet hat,</w:t>
      </w:r>
    </w:p>
    <w:p>
      <w:pPr>
        <w:ind w:left="420"/>
      </w:pPr>
      <w:r>
        <w:t xml:space="preserve">9. die nach § 25d Absatz 3 Satz 1 oder Satz 2 bezeichnete Person mehr als eine Geschäftsleiter- und zwei Aufsichtsfunktionen ausübt und die Bundesanstalt ihr nicht die Ausübung weiterer Mandate gestattet hat oder</w:t>
      </w:r>
    </w:p>
    <w:p>
      <w:pPr>
        <w:ind w:left="420"/>
      </w:pPr>
      <w:r>
        <w:t xml:space="preserve">10. die nach § 25d Absatz 3a Satz 1 bezeichnete Person mehr als fünf Kontrollmandate bei unter der Aufsicht der Bundesanstalt stehenden Unternehmen ausübt.</w:t>
      </w:r>
    </w:p>
    <w:p>
      <w:r>
        <w:t xml:space="preserve">Bei Instituten, die auf Grund ihrer Rechtsform einer besonderen Rechtsaufsicht unterliegen, erfolgt eine Maßnahme nach Satz 1 erst nach Anhörung der zuständigen Behörde für die Rechtsaufsicht über diese Institute. Soweit das Gericht auf Antrag des Aufsichtsrats ein Aufsichtsratsmitglied abzuberufen hat, kann dieser Antrag bei Vorliegen der Voraussetzungen nach Satz 1 Nummer 1 bis 10 auch von der Bundesanstalt gestellt werden, wenn der Aufsichtsrat dem Abberufungsverlangen der Aufsichtsbehörde nicht nachgekommen ist. Die Abberufung von Arbeitnehmervertretern im Aufsichtsrat erfolgt allein nach den Vorschriften der Mitbestimmungsgesetze.</w:t>
      </w:r>
    </w:p>
    <w:p>
      <w:r>
        <w:t xml:space="preserve">(4) (weggefallen)</w:t>
      </w:r>
    </w:p>
    <w:p>
      <w:r>
        <w:rPr>
          <w:color w:val="555555"/>
          <w:sz w:val="17"/>
        </w:rPr>
        <w:t xml:space="preserve">Zitiervorschlag: § 36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