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KredWG — Stellvertretung und Fortführung bei Todesfall</w:t>
      </w:r>
    </w:p>
    <w:p>
      <w:r>
        <w:rPr>
          <w:color w:val="555555"/>
          <w:sz w:val="18"/>
        </w:rPr>
        <w:t xml:space="preserve">Kreditwesengesetz</w:t>
      </w:r>
    </w:p>
    <w:p>
      <w:r>
        <w:rPr>
          <w:color w:val="555555"/>
          <w:sz w:val="18"/>
        </w:rPr>
        <w:t xml:space="preserve">Stand: 10.06.2019 (konsolidierte Textfassung, kein amtliches Inkrafttretensdatum)</w:t>
      </w:r>
    </w:p>
    <w:p>
      <w:r>
        <w:t xml:space="preserve">(1) § 45 der Gewerbeordnung findet auf Institute keine Anwendung.</w:t>
      </w:r>
    </w:p>
    <w:p>
      <w:r>
        <w:t xml:space="preserve">(2) Nach dem Tode des Inhabers der Erlaubnis darf ein Institut durch zwei Stellvertreter ohne Erlaubnis für die Erben bis zur Dauer eines Jahres fortgeführt werden. Die Stellvertreter sind unverzüglich nach dem Todesfall zu bestimmen; sie gelten als Geschäftsleiter. Ist ein Stellvertreter nicht zuverlässig oder hat er nicht die erforderliche fachliche Eignung, kann die Aufsichtsbehörde die Fortführung der Geschäfte untersagen. Sie kann die Frist nach Satz 1 aus besonderen Gründen verlängern. Für Finanzdienstleistungsinstitute, die nicht befugt sind, sich bei der Erbringung von Finanzdienstleistungen Eigentum oder Besitz an Geldern oder Wertpapieren von Kunden zu verschaffen, genügt ein Stellvertreter.</w:t>
      </w:r>
    </w:p>
    <w:p>
      <w:r>
        <w:rPr>
          <w:color w:val="555555"/>
          <w:sz w:val="17"/>
        </w:rPr>
        <w:t xml:space="preserve">Zitiervorschlag: § 34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