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33a KredWG — Aussetzung oder Beschränkung der Erlaubnis bei Unternehmen mit Sitz außerhalb der Europäischen Union</w:t>
      </w:r>
    </w:p>
    <w:p>
      <w:r>
        <w:rPr>
          <w:color w:val="555555"/>
          <w:sz w:val="18"/>
        </w:rPr>
        <w:t xml:space="preserve">Kreditwesengesetz</w:t>
      </w:r>
    </w:p>
    <w:p>
      <w:r>
        <w:rPr>
          <w:color w:val="555555"/>
          <w:sz w:val="18"/>
        </w:rPr>
        <w:t xml:space="preserve">Stand: 10.06.2019 (konsolidierte Textfassung, kein amtliches Inkrafttretensdatum)</w:t>
      </w:r>
    </w:p>
    <w:p>
      <w:r>
        <w:t xml:space="preserve">Die Aufsichtsbehörde hat die Entscheidung über einen Antrag auf Erlaubnis von Unternehmen mit Sitz außerhalb der Europäischen Union oder von Tochterunternehmen dieser Unternehmen auszusetzen oder die Erlaubnis zu beschränken, wenn ein entsprechender Beschluß des Rates oder der Europäischen Kommission vorliegt, der nach Artikel 147 der Richtlinie 2013/36/EU zustande gekommen ist. Die Aussetzung oder Beschränkung darf drei Monate vom Zeitpunkt des Beschlusses an nicht überschreiten. Die Sätze 1 und 2 gelten auch für nach dem Zeitpunkt des Beschlusses eingereichte Anträge auf Erlaubnis. Beschließt der Rat die Verlängerung der Frist nach Satz 2, so hat die Aufsichtsbehörde diese Fristverlängerung zu beachten und die Aussetzung oder Beschränkung entsprechend zu verlängern.</w:t>
      </w:r>
    </w:p>
    <w:p>
      <w:r>
        <w:rPr>
          <w:color w:val="555555"/>
          <w:sz w:val="17"/>
        </w:rPr>
        <w:t xml:space="preserve">Zitiervorschlag: § 33a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https://recht.nulegal.eu/gesetze/KredWG/33a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