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KredWG — Befreiungen; Verordnungsermächtigung</w:t>
      </w:r>
    </w:p>
    <w:p>
      <w:r>
        <w:rPr>
          <w:color w:val="555555"/>
          <w:sz w:val="18"/>
        </w:rPr>
        <w:t xml:space="preserve">Kreditwesengesetz</w:t>
      </w:r>
    </w:p>
    <w:p>
      <w:r>
        <w:rPr>
          <w:color w:val="555555"/>
          <w:sz w:val="18"/>
        </w:rPr>
        <w:t xml:space="preserve">Stand: 29.12.2020 (konsolidierte Textfassung, kein amtliches Inkrafttretensdatum)</w:t>
      </w:r>
    </w:p>
    <w:p>
      <w:r>
        <w:t xml:space="preserve">(1) Das Bundesministerium der Finanzen kann nach Anhörung der Deutschen Bundesbank durch Rechtsverordnung, die nicht der Zustimmung des Bundesrates bedarf,</w:t>
      </w:r>
    </w:p>
    <w:p>
      <w:pPr>
        <w:ind w:left="420"/>
      </w:pPr>
      <w:r>
        <w:t xml:space="preserve">1. alle Institute oder Arten oder Gruppen von Instituten von der Pflicht zur Anzeige bestimmter Kredite und Tatbestände nach § 14 Abs. 1 sowie § 24 Abs. 1 Nr. 1 bis 4 und 6 und Abs. 1a, Arten oder Gruppen von Instituten von der Pflicht zur Einreichung von Finanzinformationen nach § 25 oder von der Pflicht nach § 26 Abs. 1 Satz 2, den Jahresabschluß in einer Anlage zu erläutern, sowie Geschäftsleiter eines Instituts von der Pflicht zur Anzeige von Beteiligungen nach § 24 Abs. 3 Nr. 2 freistellen, wenn die Angaben für die Aufsicht ohne Bedeutung sind;</w:t>
      </w:r>
    </w:p>
    <w:p>
      <w:pPr>
        <w:ind w:left="420"/>
      </w:pPr>
      <w:r>
        <w:t xml:space="preserve">2. Arten oder Gruppen von Instituten von der Einhaltung des § 26 freistellen, wenn die Eigenart des Geschäftsbetriebes dies rechtfertigt;</w:t>
      </w:r>
    </w:p>
    <w:p>
      <w:pPr>
        <w:ind w:left="420"/>
      </w:pPr>
      <w:r>
        <w:t xml:space="preserve">3. alle Institute, die keine CRR-Institute sind, oder Arten oder Gruppen von Instituten, die keine CRR-Institute sind, von Pflichten zur Anzeige bestimmter Kredite und Tatbestände nach der Verordnung (EU) Nr. 575/2013 freistellen.</w:t>
      </w:r>
    </w:p>
    <w:p>
      <w:r>
        <w:t xml:space="preserve">Das Bundesministerium der Finanzen kann diese Ermächtigung durch Rechtsverordnung auf die Bundesanstalt mit der Maßgabe übertragen, daß die Rechtsverordnung im Benehmen mit der Deutschen Bundesbank ergeht.</w:t>
      </w:r>
    </w:p>
    <w:p>
      <w:r>
        <w:t xml:space="preserve">(2) Die Bundesanstalt kann einzelne Institute von Verpflichtungen nach § 13 Abs. 1 und 2, § 15 Abs. 1 Satz 1 Nr. 6 bis 11 und Abs. 2, § 24 Abs. 1 Nr. 1 bis 4, den §§ 25, 26 und 29 Absatz 2 Satz 3 sowie von der Verpflichtung nach § 15 Abs. 1 Satz 1, Kredite nur zu marktmäßigen Bedingungen zu gewähren, freistellen, wenn dies aus besonderen Gründen, insbesondere wegen der Art oder des Umfanges der betriebenen Geschäfte, angezeigt ist. Sie kann ferner Unternehmen, die ausschließlich Finanzdienstleistungen nach § 1 Absatz 1a Satz 2 Nummer 9 oder Nummer 10 erbringen, von den Verpflichtungen nach § 25a Absatz 1 Satz 3 Nummer 3 Buchstabe c freistellen, wenn dies aus besonderen Gründen, insbesondere auf Grund der Institutsgröße, angezeigt ist. Die Freistellung kann auf Antrag des Instituts oder von Amts wegen erfolgen.</w:t>
      </w:r>
    </w:p>
    <w:p>
      <w:r>
        <w:t xml:space="preserve">(3) Ein übergeordnetes Unternehmen nach § 10a hat der Bundesanstalt und der Deutschen Bundesbank die Absicht mitzuteilen, Artikel 19 Absatz 1 der Verordnung (EU) Nr. 575/2013 in der jeweils geltenden Fassung für ein Unternehmen in Anspruch zu nehmen; es hat außerdem einmal jährlich in einer Sammelanzeige mitzuteilen, welche Unternehmen es nach Artikel 19 Absatz 1 der Verordnung (EU) Nr. 575/2013 in der jeweils geltenden Fassung von der Zusammenfassung nach § 12a Absatz 1 Satz 1, § 25 Absatz 2 und nach den Artikeln 11 bis 18 der Verordnung (EU) Nr. 575/2013 in der jeweils geltenden Fassung ausgenommen hat.</w:t>
      </w:r>
    </w:p>
    <w:p>
      <w:r>
        <w:t xml:space="preserve">(4) (weggefallen)</w:t>
      </w:r>
    </w:p>
    <w:p>
      <w:r>
        <w:t xml:space="preserve">(5) (weggefallen)</w:t>
      </w:r>
    </w:p>
    <w:p>
      <w:r>
        <w:t xml:space="preserve">(6) (weggefallen)</w:t>
      </w:r>
    </w:p>
    <w:p>
      <w:r>
        <w:rPr>
          <w:color w:val="555555"/>
          <w:sz w:val="17"/>
        </w:rPr>
        <w:t xml:space="preserve">Zitiervorschlag: § 31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