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KredWG — Verbotene Geschäfte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Verboten sind</w:t>
      </w:r>
    </w:p>
    <w:p>
      <w:pPr>
        <w:ind w:left="420"/>
      </w:pPr>
      <w:r>
        <w:t xml:space="preserve">1. der Betrieb des Einlagengeschäftes, wenn der Kreis der Einleger überwiegend aus Betriebsangehörigen des Unternehmens besteht (Werksparkassen) und nicht sonstige Bankgeschäfte betrieben werden, die den Umfang dieses Einlagengeschäftes übersteigen;</w:t>
      </w:r>
    </w:p>
    <w:p>
      <w:pPr>
        <w:ind w:left="420"/>
      </w:pPr>
      <w:r>
        <w:t xml:space="preserve">2. die Annahme von Geldbeträgen, wenn der überwiegende Teil der Geldgeber einen Rechtsanspruch darauf hat, daß ihnen aus diesen Geldbeträgen Darlehen gewährt oder Gegenstände auf Kredit verschafft werden (Zwecksparunternehmen); dies gilt nicht für Bausparkassen;</w:t>
      </w:r>
    </w:p>
    <w:p>
      <w:pPr>
        <w:ind w:left="420"/>
      </w:pPr>
      <w:r>
        <w:t xml:space="preserve">3. der Betrieb des Kreditgeschäftes oder des Einlagengeschäftes, wenn es durch Vereinbarung oder geschäftliche Gepflogenheit ausgeschlossen oder erheblich erschwert ist, über den Kreditbetrag oder die Einlagen durch Barabhebung zu verfügen.</w:t>
      </w:r>
    </w:p>
    <w:p>
      <w:r>
        <w:t xml:space="preserve">(2) CRR-Kreditinstituten und Unternehmen, die einer Institutsgruppe, einer Finanzholding-Gruppe oder einer gemischten Finanzholding-Gruppe angehören, der ein CRR-Kreditinstitut angehört, ist das Betreiben der in Satz 2 genannten Geschäfte nach Ablauf von 12 Monaten nach Überschreiten eines der folgenden Schwellenwerte verboten, wenn</w:t>
      </w:r>
    </w:p>
    <w:p>
      <w:pPr>
        <w:ind w:left="420"/>
      </w:pPr>
      <w:r>
        <w:t xml:space="preserve">1. bei nach internationalen Rechnungslegungsstandards im Sinne des § 315e des Handelsgesetzbuchs bilanzierenden CRR-Kreditinstituten und Institutsgruppen, Finanzholding-Gruppen oder gemischten Finanzholding-Gruppen, denen ein CRR-Kreditinstitut angehört, die erfolgsneutral zum beizulegenden Zeitwert im sonstigen Ergebnis sowie die erfolgswirksam zum beizulegenden Zeitwert bewerteten finanziellen Vermögenswerte im Sinne von Nummer 4.1. des International Financial Reporting Standard 9 in der jeweils geltenden Fassung des Anhangs zur Verordnung (EG) Nr. 1126/2008 der Kommission vom 3. November 2008 zur Übernahme bestimmter internationaler Rechnungslegungsstandards gemäß der Verordnung (EG) Nr. 1606/2002 des Europäischen Parlaments und des Rates (ABl. L 320 vom 29.11.2008, S. 1; L 347 vom 24.12.2009, S. 32; L 29 vom 2.2.2010, S. 34; L 238 vom 6.9.2013, S. 23), die zuletzt durch die Verordnung (EU) 2020/551 (ABl. L 127 vom 22.4.2020, S. 13) geändert worden ist, zum Abschlussstichtag des vorangegangenen Geschäftsjahrs den Wert von 100 Milliarden Euro übersteigen oder, wenn die Bilanzsumme des CRR-Kreditinstituts oder der Institutsgruppe, Finanzholding-Gruppe oder gemischten Finanzholding-Gruppe, der ein CRR-Kreditinstitut angehört, zum Abschlussstichtag der letzten drei Geschäftsjahre jeweils mindestens 90 Milliarden Euro erreicht, 20 Prozent der Bilanzsumme des CRR-Kreditinstituts, der Institutsgruppe, Finanzholding-Gruppe oder gemischten Finanzholding-Gruppe, der ein CRR-Kreditinstitut angehört, des vorausgegangenen Geschäftsjahrs übersteigen, es sei denn, die Geschäfte werden in einem Finanzhandelsinstitut im Sinne des § 25f Absatz 1 betrieben, oder</w:t>
      </w:r>
    </w:p>
    <w:p>
      <w:pPr>
        <w:ind w:left="420"/>
      </w:pPr>
      <w:r>
        <w:t xml:space="preserve">2. bei den sonstigen der Rechnungslegung des Handelsgesetzbuchs unterliegenden CRR-Kreditinstituten und Institutsgruppen, Finanzholding-Gruppen oder gemischten Finanzholding-Gruppen, denen ein CRR-Kreditinstitut angehört, die dem Handelsbestand nach § 340e Absatz 3 des Handelsgesetzbuchs und der Liquiditätsreserve nach § 340e Absatz 1 Satz 2 des Handelsgesetzbuchs zuzuordnenden Positionen zum Abschlussstichtag des vorangegangenen Geschäftsjahrs den Wert von 100 Milliarden Euro übersteigen oder, wenn die Bilanzsumme des CRR-Kreditinstituts oder der Institutsgruppe, Finanzholding-Gruppe oder gemischten Finanzholding-Gruppe, der ein CRR-Kreditinstitut angehört, zum Abschlussstichtag der letzten drei Geschäftsjahre jeweils mindestens 90 Milliarden Euro erreicht, 20 Prozent der Bilanzsumme des CRR-Kreditinstituts, der Institutsgruppe, Finanzholding-Gruppe oder gemischten Finanzholding-Gruppe, der ein CRR-Kreditinstitut angehört, des vorausgegangenen Geschäftsjahrs übersteigen, es sei denn, die Geschäfte werden in einem Finanzhandelsinstitut im Sinne des § 25f Absatz 1 betrieben.</w:t>
      </w:r>
    </w:p>
    <w:p>
      <w:r>
        <w:t xml:space="preserve">Nach Maßgabe von Satz 1 verbotene Geschäfte sind</w:t>
      </w:r>
    </w:p>
    <w:p>
      <w:pPr>
        <w:ind w:left="420"/>
      </w:pPr>
      <w:r>
        <w:t xml:space="preserve">1. Eigengeschäfte;</w:t>
      </w:r>
    </w:p>
    <w:p>
      <w:pPr>
        <w:ind w:left="420"/>
      </w:pPr>
      <w:r>
        <w:t xml:space="preserve">2. Kredit- und Garantiegeschäfte mit</w:t>
      </w:r>
    </w:p>
    <w:p>
      <w:pPr>
        <w:ind w:left="780"/>
      </w:pPr>
      <w:r>
        <w:t xml:space="preserve">a) Hedgefonds im Sinne des § 283 Absatz 1 des Kapitalanlagegesetzbuches oder Dach-Hedgefonds im Sinne des § 225 Absatz 1 des Kapitalanlagegesetzbuches oder, sofern die Geschäfte im Rahmen der Verwaltung eines Hedgefonds oder Dach-Hedgefonds getätigt werden, mit deren Verwaltungsgesellschaften;</w:t>
      </w:r>
    </w:p>
    <w:p>
      <w:pPr>
        <w:ind w:left="780"/>
      </w:pPr>
      <w:r>
        <w:t xml:space="preserve">b) EU-AIF oder ausländischen AIF im Sinne des Kapitalanlagegesetzbuches, die im beträchtlichem Umfang Leverage im Sinne des Artikels 111 der Delegierten Verordnung (EU) Nr. 231/2013 der Kommission vom 19. Dezember 2012 zur Ergänzung der Richtlinie 2011/61/EU des Europäischen Parlaments und des Rates im Hinblick auf Ausnahmen, die Bedingungen für die Ausübung der Tätigkeit, Verwahrstellen, Hebelfinanzierung, Transparenz und Beaufsichtigung (ABl. L 83 vom 22.3.2013, S. 1) einsetzen, oder, sofern die Geschäfte im Rahmen der Verwaltung des EU-AIF oder ausländischen AIF getätigt werden, mit deren EU-AIF-Verwaltungsgesellschaften oder ausländischen AIF-Verwaltungsgesellschaften;</w:t>
      </w:r>
    </w:p>
    <w:p>
      <w:pPr>
        <w:ind w:left="420"/>
      </w:pPr>
      <w:r>
        <w:t xml:space="preserve">3. der Eigenhandel im Sinne des § 1 Absatz 1a Satz 2 Nummer 4 Buchstabe d mit Ausnahme der Market-Making-Tätigkeiten im Sinne des Artikels 2 Absatz 1 Buchstabe k der Verordnung (EU) Nr. 236/2012 vom 14. März 2012 über Leerverkäufe und bestimmte Aspekte von Credit Default Swaps (ABl. L 86 vom 24.3.2012, S. 1) (Market-Making-Tätigkeiten); die Ermächtigung der Bundesanstalt zu Einzelfallregelungen nach Absatz 4 Satz 1 bleibt unberührt.</w:t>
      </w:r>
    </w:p>
    <w:p>
      <w:r>
        <w:t xml:space="preserve">Nicht unter die Geschäfte im Sinne des Satzes 2 fallen:</w:t>
      </w:r>
    </w:p>
    <w:p>
      <w:pPr>
        <w:ind w:left="420"/>
      </w:pPr>
      <w:r>
        <w:t xml:space="preserve">1. Geschäfte zur Absicherung von Geschäften mit Kunden außer AIF oder Verwaltungsgesellschaften im Sinne von Satz 2 Nummer 2;</w:t>
      </w:r>
    </w:p>
    <w:p>
      <w:pPr>
        <w:ind w:left="420"/>
      </w:pPr>
      <w:r>
        <w:t xml:space="preserve">2. Geschäfte, die der Zins-, Währungs-, Liquiditäts-, und Kreditrisikosteuerung des CRR-Kreditinstituts, der Institutsgruppe, der Finanzholding-Gruppe, der gemischten Finanzholding-Gruppe oder des Verbundes dienen; einen Verbund in diesem Sinne bilden Institute, die demselben institutsbezogenen Sicherungssystem im Sinne des Artikels 113 Nummer 7 Buchstabe c der Verordnung des Europäischen Parlaments und des Rates über Aufsichtsanforderungen an Kreditinstitute und Wertpapierfirmen angehören;</w:t>
      </w:r>
    </w:p>
    <w:p>
      <w:pPr>
        <w:ind w:left="420"/>
      </w:pPr>
      <w:r>
        <w:t xml:space="preserve">3. Geschäfte im Dienste des Erwerbs und der Veräußerung langfristig angelegter Beteiligungen sowie Geschäfte, die nicht zu dem Zweck geschlossen werden, bestehende oder erwartete Unterschiede zwischen den Kauf- und Verkaufspreisen oder Schwankungen von Marktkursen, -preisen, -werten oder Zinssätzen kurzfristig zu nutzen, um so Gewinne zu erzielen.</w:t>
      </w:r>
    </w:p>
    <w:p>
      <w:r>
        <w:t xml:space="preserve">(3) CRR-Kreditinstitute und Unternehmen, die einer Institutsgruppe, einer Finanzholdinggruppe oder einer gemischten Finanzholdinggruppe angehören, der ein CRR-Kreditinstitut angehört, und die einen der Schwellenwerte des § 3 Absatz 2 Satz 1 Nummer 1 oder Nummer 2 überschreiten, haben</w:t>
      </w:r>
    </w:p>
    <w:p>
      <w:pPr>
        <w:ind w:left="420"/>
      </w:pPr>
      <w:r>
        <w:t xml:space="preserve">1. binnen sechs Monaten nach dem Überschreiten eines der Schwellenwerte anhand einer Risikoanalyse zu ermitteln, welche ihrer Geschäfte im Sinne des Absatzes 2 Satz 1 verboten sind, und</w:t>
      </w:r>
    </w:p>
    <w:p>
      <w:pPr>
        <w:ind w:left="420"/>
      </w:pPr>
      <w:r>
        <w:t xml:space="preserve">2. binnen 12 Monaten nach dem Überschreiten eines der Schwellenwerte die nach Satz 1 Nummer 1 ermittelten bereits betriebenen verbotenen Geschäfte zu beenden oder auf ein Finanzhandelsinstitut zu übertragen.</w:t>
      </w:r>
    </w:p>
    <w:p>
      <w:r>
        <w:t xml:space="preserve">Die Risikoanalyse nach Satz 1 Nummer 1 hat plausibel, umfassend und nachvollziehbar zu sein und ist schriftlich oder elektronisch zu dokumentieren. Die Bundesanstalt kann die Frist nach Satz 1 Nummer 2 im Einzelfall um bis zu 12 Monate verlängern; der Antrag ist zu begründen. Verboten ist das Betreiben von</w:t>
      </w:r>
    </w:p>
    <w:p>
      <w:pPr>
        <w:ind w:left="420"/>
      </w:pPr>
      <w:r>
        <w:t xml:space="preserve">1. nach Satz 1 Nummer 1 ermittelten Geschäften nach Ablauf von zwölf Monaten nach dem Überschreiten eines der in Absatz 2 Satz 1 genannten Schwellenwerte, im Falle des Satzes 3 nach Ablauf der gewährten Fristverlängerung, und</w:t>
      </w:r>
    </w:p>
    <w:p>
      <w:pPr>
        <w:ind w:left="420"/>
      </w:pPr>
      <w:r>
        <w:t xml:space="preserve">2. Geschäften, die nach Satz 1 Nummer 1 unter Beachtung der im Verkehr erforderlichen Sorgfalt hätten ermittelt werden müssen, nach Ablauf von zwölf Monaten nach dem Überschreiten eines der in Absatz 2 Satz 1 genannten Schwellenwerte.</w:t>
      </w:r>
    </w:p>
    <w:p>
      <w:r>
        <w:t xml:space="preserve">(4) Die Bundesanstalt kann einem CRR-Kreditinstitut oder einem Unternehmen, das einer Institutsgruppe, einer Finanzholding-Gruppe oder einer gemischten Finanzholding-Gruppe angehört, der auch ein CRR-Kreditinstitut angehört, unabhängig davon, ob die Geschäfte nach Absatz 2 den Wert nach Absatz 2 Satz 1 überschreiten, die nachfolgenden Geschäfte verbieten und anordnen, dass die Geschäfte einzustellen oder auf ein Finanzhandelsinstitut im Sinne des § 25f Absatz 1 zu übertragen sind, wenn zu besorgen ist, dass diese Geschäfte, insbesondere gemessen am sonstigen Geschäftsvolumen, am Ertrag oder an der Risikostruktur des CRR-Kreditinstituts oder des Unternehmens, das einer Institutsgruppe, einer Finanzholding-Gruppe oder einer gemischten Finanzholding-Gruppe angehört, der auch ein CRR-Kreditinstitut angehört, die Solvenz des CRR-Kreditinstituts oder des Unternehmens, das einer Institutsgruppe, einer Finanzholding-Gruppe oder einer gemischten Finanzholding-Gruppe angehört, der auch ein CRR-Kreditinstitut angehört, zu gefährden drohen:</w:t>
      </w:r>
    </w:p>
    <w:p>
      <w:pPr>
        <w:ind w:left="420"/>
      </w:pPr>
      <w:r>
        <w:t xml:space="preserve">1. Market-Making-Tätigkeiten;</w:t>
      </w:r>
    </w:p>
    <w:p>
      <w:pPr>
        <w:ind w:left="420"/>
      </w:pPr>
      <w:r>
        <w:t xml:space="preserve">2. sonstige Geschäfte im Sinne von Absatz 2 Satz 2 oder Geschäfte mit Finanzinstrumenten, die ihrer Art nach in der Risikointensität mit den Geschäften des Absatzes 2 Satz 2 oder des Satzes 1 Nummer 1 vergleichbar sind.</w:t>
      </w:r>
    </w:p>
    <w:p>
      <w:r>
        <w:t xml:space="preserve">Die Bundesanstalt hat bei Anordnung im Sinne des Satzes 1 dem Institut eine angemessene Frist einzuräumen.</w:t>
      </w:r>
    </w:p>
    <w:p>
      <w:r>
        <w:rPr>
          <w:color w:val="555555"/>
          <w:sz w:val="17"/>
        </w:rPr>
        <w:t xml:space="preserve">Zitiervorschlag: § 3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