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2f KredWG — Zulassung von Finanzholding-Gesellschaften und gemischten Finanzholding-Gesellschaften; Verordnungsermächtigung</w:t>
      </w:r>
    </w:p>
    <w:p>
      <w:r>
        <w:rPr>
          <w:color w:val="555555"/>
          <w:sz w:val="18"/>
        </w:rPr>
        <w:t xml:space="preserve">Kreditwesengesetz</w:t>
      </w:r>
    </w:p>
    <w:p>
      <w:r>
        <w:rPr>
          <w:color w:val="555555"/>
          <w:sz w:val="18"/>
        </w:rPr>
        <w:t xml:space="preserve">Stand: 10.04.2026 (konsolidierte Textfassung, kein amtliches Inkrafttretensdatum)</w:t>
      </w:r>
    </w:p>
    <w:p>
      <w:r>
        <w:t xml:space="preserve">(1) Mutterfinanzholding-Gesellschaften und gemischte Mutterfinanzholding-Gesellschaften sowie EU-Mutterfinanzholding-Gesellschaften und gemischte EU-Mutterfinanzholding-Gesellschaften, die an der Spitze einer Gruppe stehen, die von der Aufsichtsbehörde auf zusammengefasster Basis beaufsichtigt wird, bedürfen der schriftlichen Zulassung durch die Aufsichtsbehörde. Die Zulassungspflicht gilt auch für sonstige Finanzholding-Gesellschaften und gemischte Finanzholding-Gesellschaften, die</w:t>
      </w:r>
    </w:p>
    <w:p>
      <w:pPr>
        <w:ind w:left="420"/>
      </w:pPr>
      <w:r>
        <w:t xml:space="preserve">1. als übergeordnete Unternehmen im Sinne des Absatzes 4 Satz 1 Nummer 3 bestimmt werden sollen oder</w:t>
      </w:r>
    </w:p>
    <w:p>
      <w:pPr>
        <w:ind w:left="420"/>
      </w:pPr>
      <w:r>
        <w:t xml:space="preserve">2. auf teilkonsolidierter Basis zur Einhaltung der Anforderungen nach diesem Gesetz oder nach der Verordnung (EU) Nr. 575/2013 in der Fassung vom 17. Juni 2025 verpflichtet sind, sofern die Aufsichtsbehörde für die Aufsicht über die jeweilige Teilgruppe auf zusammengefasster Basis zuständig ist.</w:t>
      </w:r>
    </w:p>
    <w:p>
      <w:r>
        <w:t xml:space="preserve">(1a) Die Aufsichtsbehörde überprüft regelmäßig, in jedem Fall mindestens einmal jährlich, ob ein CRR-Kreditinstitut, ein Unternehmen, das eine Erlaubnis nach § 32 Absatz 1 Satz 1 beantragt hat, nach deren Erteilung es ein CRR-Kreditinstitut sein würde, oder ein übergeordnetes Unternehmen ordnungsgemäß jedes Mutterunternehmen des CRR-Kreditinstituts oder des Unternehmens, das eine Erlaubnis nach § 32 Absatz 1 Satz 1 beantragt, identifiziert hat, das die Kriterien für die Einstufung als Mutterfinanzholding-Gesellschaft, gemischte Mutterfinanzholding-Gesellschaft, EU-Mutterfinanzholding-Gesellschaft oder gemischte EU-Mutterfinanzholding-Gesellschaft erfüllt. Hat ein Mutterunternehmen seinen Sitz in einem anderen Mitgliedstaat, so arbeitet die Aufsichtsbehörde mit den dort zuständigen Behörden bei der Prüfung nach Satz 1 eng zusammen.</w:t>
      </w:r>
    </w:p>
    <w:p>
      <w:r>
        <w:t xml:space="preserve">(2) Der Antragsteller muss seinem Zulassungsantrag Folgendes beifügen:</w:t>
      </w:r>
    </w:p>
    <w:p>
      <w:pPr>
        <w:ind w:left="420"/>
      </w:pPr>
      <w:r>
        <w:t xml:space="preserve">1. eine vollständige Darstellung des organisatorischen Aufbaus der Gruppe mit eindeutiger Angabe aller Mutter- und Tochterunternehmen sowie Informationen über den Sitz und die Art der Tätigkeit der einzelnen Unternehmen der Gruppe;</w:t>
      </w:r>
    </w:p>
    <w:p>
      <w:pPr>
        <w:ind w:left="420"/>
      </w:pPr>
      <w:r>
        <w:t xml:space="preserve">2. die Angaben, die für die Beurteilung der Zuverlässigkeit und der fachlichen Eignung der in § 2d Absatz 1 genannten Personen erforderlich sind;</w:t>
      </w:r>
    </w:p>
    <w:p>
      <w:pPr>
        <w:ind w:left="420"/>
      </w:pPr>
      <w:r>
        <w:t xml:space="preserve">2a. die Angaben, die für die Beurteilung der ausreichenden zeitlichen Verfügbarkeit der in § 2d Absatz 1 genannten Personen erforderlich sind;</w:t>
      </w:r>
    </w:p>
    <w:p>
      <w:pPr>
        <w:ind w:left="420"/>
      </w:pPr>
      <w:r>
        <w:t xml:space="preserve">3. sofern ein CRR-Kreditinstitut Teil der Gruppe ist, die Angaben nach § 32 Absatz 1 Satz 5 Nummer 6 oder Nummer 6a;</w:t>
      </w:r>
    </w:p>
    <w:p>
      <w:pPr>
        <w:ind w:left="420"/>
      </w:pPr>
      <w:r>
        <w:t xml:space="preserve">4. eine vollständige Darstellung der internen Organisation und der Aufgabenverteilung innerhalb der Gruppe;</w:t>
      </w:r>
    </w:p>
    <w:p>
      <w:pPr>
        <w:ind w:left="420"/>
      </w:pPr>
      <w:r>
        <w:t xml:space="preserve">5. alle sonstigen Angaben, die erforderlich sind, um die Bewertung nach den Absätzen 3 und 4 durchzuführen.</w:t>
      </w:r>
    </w:p>
    <w:p>
      <w:r>
        <w:t xml:space="preserve">Die Aufsichtsbehörde kann weitere Informationen anfordern, die für die Beurteilung des Antrags notwendig sind. Hat der Antragsteller seinen Sitz in einem anderen Staat des Europäischen Wirtschaftsraums, reicht er die Unterlagen nach Satz 1 auch bei der zuständigen Behörde dieses Staates ein. Hat der Antragsteller seinen Sitz im Inland und ist die für die Aufsicht auf zusammengefasster Basis zuständige Behörde die Europäische Zentralbank, so sind die Unterlagen nach Satz 1 auch bei der Bundesanstalt einzureichen.</w:t>
      </w:r>
    </w:p>
    <w:p>
      <w:r>
        <w:t xml:space="preserve">(3) Die Aufsichtsbehörde erteilt die Zulassung nach Absatz 1, wenn</w:t>
      </w:r>
    </w:p>
    <w:p>
      <w:pPr>
        <w:ind w:left="420"/>
      </w:pPr>
      <w:r>
        <w:t xml:space="preserve">1. die internen Vereinbarungen und die Aufgabenverteilung innerhalb der Gruppe für die Einhaltung der Anforderungen nach diesem Gesetz sowie nach der Verordnung (EU) Nr. 575/2013 auf zusammengefasster oder teilkonsolidierter Basis angemessen sind und insbesondere dazu geeignet sind,</w:t>
      </w:r>
    </w:p>
    <w:p>
      <w:pPr>
        <w:ind w:left="780"/>
      </w:pPr>
      <w:r>
        <w:t xml:space="preserve">a) alle Tochterunternehmen des Antragstellers zu steuern, erforderlichenfalls auch durch eine angemessene Aufgabenverteilung zwischen den Tochterinstituten,</w:t>
      </w:r>
    </w:p>
    <w:p>
      <w:pPr>
        <w:ind w:left="780"/>
      </w:pPr>
      <w:r>
        <w:t xml:space="preserve">b) Konflikte innerhalb der Gruppe zu verhindern oder zu entschärfen oder zu lösen und</w:t>
      </w:r>
    </w:p>
    <w:p>
      <w:pPr>
        <w:ind w:left="780"/>
      </w:pPr>
      <w:r>
        <w:t xml:space="preserve">c) die vom Antragsteller für die Gruppe insgesamt festgelegten Strategien innerhalb der gesamten Gruppe durchzusetzen;</w:t>
      </w:r>
    </w:p>
    <w:p>
      <w:pPr>
        <w:ind w:left="420"/>
      </w:pPr>
      <w:r>
        <w:t xml:space="preserve">2. der organisatorische Aufbau der Gruppe die wirksame Aufsicht über die gruppenangehörigen Institute auf Einzelbasis, zusammengefasster oder teilkonsolidierter Basis nicht beeinträchtigt;</w:t>
      </w:r>
    </w:p>
    <w:p>
      <w:pPr>
        <w:ind w:left="420"/>
      </w:pPr>
      <w:r>
        <w:t xml:space="preserve">3. die Geschäfte des Antragstellers von mindestens zwei Personen im Sinne des § 2d Absatz 1 geführt werden, diese Personen zuverlässig sind und die zur Führung der Geschäfte des Antragstellers erforderliche fachliche Eignung haben und</w:t>
      </w:r>
    </w:p>
    <w:p>
      <w:pPr>
        <w:ind w:left="420"/>
      </w:pPr>
      <w:r>
        <w:t xml:space="preserve">4. die Inhaber einer bedeutenden Beteiligung an einem CRR-Kreditinstitut der Gruppe oder, sofern keine bedeutende Beteiligung an diesem CRR-Kreditinstitut gehalten wird, die maximal 20 größten Anteilseigner an diesem CRR-Kreditinstitut zuverlässig sind und auch ansonsten den im Interesse einer soliden und umsichtigen Führung des CRR-Kreditinstituts zu stellenden Ansprüchen genügen.</w:t>
      </w:r>
    </w:p>
    <w:p>
      <w:r>
        <w:t xml:space="preserve">Bei der Beurteilung des organisatorischen Aufbaus nach Satz 1 Nummer 2 berücksichtigt die Aufsichtsbehörde insbesondere die Stellung des Antragstellers innerhalb einer sich über mehrere Konzernebenen erstreckenden Gruppe, die Beteiligungsstruktur und die Rolle des Antragstellers innerhalb der Gruppe.</w:t>
      </w:r>
    </w:p>
    <w:p>
      <w:r>
        <w:t xml:space="preserve">(4) Auf Antrag der nach Absatz 1 Satz 1 oder Absatz 1 Satz 2 Nummer 2 zulassungspflichtigen Finanzholding-Gesellschaft oder gemischten Finanzholding-Gesellschaft erteilt die Aufsichtsbehörde eine Befreiung von der Zulassungspflicht, wenn</w:t>
      </w:r>
    </w:p>
    <w:p>
      <w:pPr>
        <w:ind w:left="420"/>
      </w:pPr>
      <w:r>
        <w:t xml:space="preserve">1. die Haupttätigkeit des Antragstellers in Bezug auf Institute und Finanzinstitute im Erwerb und im Halten von Beteiligungen an Tochterunternehmen besteht,</w:t>
      </w:r>
    </w:p>
    <w:p>
      <w:pPr>
        <w:ind w:left="420"/>
      </w:pPr>
      <w:r>
        <w:t xml:space="preserve">2. es sich bei dem Antragsteller nicht um eine Abwicklungseinheit im Sinne von Artikel 2 Absatz 1 Nummer 83a Buchstabe a der Richtlinie 2014/59/EU in der Fassung vom 11. April 2024 handelt,</w:t>
      </w:r>
    </w:p>
    <w:p>
      <w:pPr>
        <w:ind w:left="420"/>
      </w:pPr>
      <w:r>
        <w:t xml:space="preserve">3. ein Tochter-CRR-Kreditinstitut oder eine nach Absatz 3 zugelassene Tochterfinanzholding-Gesellschaft oder gemischte Tochterfinanzholding-Gesellschaft zum übergeordneten Unternehmen bestimmt worden und für die Einhaltung der Anforderungen nach diesem Gesetz und nach der Verordnung (EU) Nr. 575/2013 in der Fassung vom 17. Juni 2025 auf zusammengefasster Basis verantwortlich ist sowie über alle erforderlichen Mittel und rechtlichen Befugnisse hierfür verfügt,</w:t>
      </w:r>
    </w:p>
    <w:p>
      <w:pPr>
        <w:ind w:left="420"/>
      </w:pPr>
      <w:r>
        <w:t xml:space="preserve">4. der Antragsteller nicht an der Führung der Geschäfte auf Gruppenebene beteiligt ist sowie</w:t>
      </w:r>
    </w:p>
    <w:p>
      <w:pPr>
        <w:ind w:left="420"/>
      </w:pPr>
      <w:r>
        <w:t xml:space="preserve">5. auch im Übrigen kein Hindernis für eine wirksame Aufsicht über die Gruppe auf zusammengefasster Basis besteht.</w:t>
      </w:r>
    </w:p>
    <w:p>
      <w:r>
        <w:t xml:space="preserve">Der Antragsteller hat seinem Antrag auf Befreiung von der Zulassungspflicht die Informationen beizufügen, die erforderlich sind, um das Vorliegen der Voraussetzungen des Satzes 1 zu beurteilen. Die Aufsichtsbehörde kann weitere Informationen anfordern, die für die Beurteilung des Antrags notwendig sind. Antragsteller, die nach diesem Absatz von der Zulassungspflicht nach Absatz 1 befreit werden, sind vorbehaltlich des § 10a Absatz 3 dennoch weiterhin in den Konsolidierungskreis nach diesem Gesetz und der Verordnung (EU) Nr. 575/2013 einzubeziehen.</w:t>
      </w:r>
    </w:p>
    <w:p>
      <w:r>
        <w:t xml:space="preserve">(5) Die Aufsichtsbehörde kontrolliert fortlaufend, ob der Antragsteller die Voraussetzungen von Absatz 3 oder 4 einhält. Der Antragsteller übermittelt der Aufsichtsbehörde unverzüglich alle Informationen, die für diese fortlaufende Kontrolle erforderlich sind. Hat der Antragsteller seinen Sitz in einem anderen Staat des Europäischen Wirtschaftsraums, so übermittelt die Aufsichtsbehörde die Informationen auch an die zuständige Aufsichtsbehörde des Staates, in dem der Antragsteller seinen Sitz hat.</w:t>
      </w:r>
    </w:p>
    <w:p>
      <w:r>
        <w:t xml:space="preserve">(6) Liegen die Voraussetzungen nicht oder nicht mehr vor, nach denen die Aufsichtsbehörde nach Absatz 3 die Zulassung erteilt hat, kann die Aufsichtsbehörde insbesondere zur Sicherstellung oder Wiederherstellung der Kontinuität und Integrität der Beaufsichtigung auf zusammengefasster Basis und der Einhaltung der Anforderungen dieses Gesetzes und der dazu erlassenen Rechtsverordnungen sowie der Verordnung (EU) Nr. 575/2013 auf zusammengefasster Basis</w:t>
      </w:r>
    </w:p>
    <w:p>
      <w:pPr>
        <w:ind w:left="420"/>
      </w:pPr>
      <w:r>
        <w:t xml:space="preserve">1. dem Antragsteller oder der nach Absatz 1 zugelassenen Gesellschaft die Ausübung der Stimmrechte an CRR-Kreditinstituten der Gruppe untersagen,</w:t>
      </w:r>
    </w:p>
    <w:p>
      <w:pPr>
        <w:ind w:left="420"/>
      </w:pPr>
      <w:r>
        <w:t xml:space="preserve">2. gegenüber dem Antragsteller oder der nach Absatz 1 zugelassenen Gesellschaft anordnen, die jeweiligen Beteiligungen an den CRR-Kreditinstituten der Gruppe auf seine oder ihre Inhaber zu übertragen,</w:t>
      </w:r>
    </w:p>
    <w:p>
      <w:pPr>
        <w:ind w:left="420"/>
      </w:pPr>
      <w:r>
        <w:t xml:space="preserve">3. ein CRR-Kreditinstitut oder eine andere Finanzholding-Gesellschaft oder gemischte Finanzholding-Gesellschaft der Gruppe vorübergehend zum übergeordneten Unternehmen der Gruppe bestimmen,</w:t>
      </w:r>
    </w:p>
    <w:p>
      <w:pPr>
        <w:ind w:left="420"/>
      </w:pPr>
      <w:r>
        <w:t xml:space="preserve">4. die Ausschüttungen oder die Zinszahlungen an Anteilseigner beschränken oder untersagen,</w:t>
      </w:r>
    </w:p>
    <w:p>
      <w:pPr>
        <w:ind w:left="420"/>
      </w:pPr>
      <w:r>
        <w:t xml:space="preserve">5. gegenüber dem Antragsteller oder der nach Absatz 1 zugelassenen Gesellschaft anordnen, die jeweiligen Beteiligungen an Instituten oder anderen Unternehmen der Finanzbranche zu verringern oder zu veräußern,</w:t>
      </w:r>
    </w:p>
    <w:p>
      <w:pPr>
        <w:ind w:left="420"/>
      </w:pPr>
      <w:r>
        <w:t xml:space="preserve">6. anordnen, unverzüglich einen Plan zur Wiederherstellung der Voraussetzungen vorzulegen, die zur Erteilung der Zulassung nach Absatz 3 geführt haben.</w:t>
      </w:r>
    </w:p>
    <w:p>
      <w:r>
        <w:t xml:space="preserve">Die Aufsichtsbehörde kann außerdem gegenüber den Inhabern und Geschäftsleitern des Antragstellers oder der nach Absatz 1 zugelassenen Gesellschaft einstweilige Maßnahmen treffen, um Gefahren für die Erfüllung der aufsichtsrechtlichen Anforderungen, denen die Gruppe auf zusammengefasster Basis unterliegt, abzuwehren. Im Fall einer gemischten Finanzholding-Gesellschaft sind insbesondere die Auswirkungen der Maßnahmen nach den Sätzen 1 und 2 auf das Finanzkonglomerat zu berücksichtigen.</w:t>
      </w:r>
    </w:p>
    <w:p>
      <w:r>
        <w:t xml:space="preserve">(7) Liegen die Voraussetzungen nach Absatz 4 Satz 1 nicht mehr vor, ist eine erteilte Befreiung von der Zulassungspflicht von der Aufsichtsbehörde zu widerrufen. Es ist unverzüglich ein Zulassungsantrag nach Absatz 2 zu stellen.</w:t>
      </w:r>
    </w:p>
    <w:p>
      <w:r>
        <w:t xml:space="preserve">(8) In Fällen des Absatzes 2 Satz 3 und 4 arbeitet die Aufsichtsbehörde bei Entscheidungen nach den Absätzen 3 bis 7 sowie bei der Entscheidung nach § 10a Absatz 3 in umfassender Abstimmung mit der zuständigen Behörde des Staates des Europäischen Wirtschaftsraums zusammen, in dem die Finanzholding-Gesellschaft oder gemischte Finanzholding-Gesellschaft nach Absatz 1 ihren Sitz hat. Dazu übermittelt die Aufsichtsbehörde der zuständigen Behörde dieses Staates eine Bewertung der Angelegenheit sowie einen Entscheidungsvorschlag diesbezüglich. Beide Behörden treffen innerhalb einer Frist von zwei Monaten nach der Übermittlung eine gemeinsame Entscheidung, die die Aufsichtsbehörde der Finanzholding-Gesellschaft oder gemischten Finanzholding-Gesellschaft nach Absatz 1 übermittelt; die Entscheidung ist durch die Bundesanstalt auch dann umzusetzen, wenn die Finanzholding-Gesellschaft oder die gemischte Finanzholding-Gesellschaft im Inland niedergelassen ist, die Aufsicht auf zusammengefasster Basis aber durch die zuständige Stelle eines anderen Staates des Europäischen Wirtschaftsraums ausgeübt wird. Ist es den beiden Behörden nicht möglich, innerhalb der Frist nach Satz 3 eine gemeinsame Entscheidung zu treffen, überweisen sie die Angelegenheit vor Ablauf der Frist gemäß Artikel 19 der Verordnung (EU) Nr. 1093/2010 des Europäischen Parlaments und des Rates vom 24. November 2010 zur Errichtung einer Europäischen Aufsichtsbehörde (Europäische Bankenaufsichtsbehörde), zur Änderung des Beschlusses Nr. 716/2009/EG und zur Aufhebung des Beschlusses 2009/78/EG der Kommission (ABl. L 331 vom 15.12.2010, S. 12; L 101 vom 18.4.2015, S. 62), die zuletzt durch die Verordnung (EU) 2019/2175 (ABl. L 334 vom 27.12.2019, S. 1) geändert worden ist, an die Europäische Bankenaufsichtsbehörde und treffen ihre gemeinsame Entscheidung im Einklang mit dem Beschluss der Europäischen Bankenaufsichtsbehörde. Ist die Gesellschaft nach Absatz 1 eine gemischte Finanzholding-Gesellschaft, so ist für eine Entscheidung nach den Absätzen 3 bis 7 die Zustimmung des gemäß Artikel 10 der Richtlinie 2002/87/EG zuständigen Koordinators des Finanzkonglomerats erforderlich. Erteilt dieser die Zustimmung nicht, überweist die Aufsichtsbehörde die Angelegenheit an die zuständige europäische Aufsichtsbehörde, also die Europäische Bankenaufsichtsbehörde oder die Europäische Aufsichtsbehörde für das Versicherungswesen und die betriebliche Altersversorgung.</w:t>
      </w:r>
    </w:p>
    <w:p>
      <w:r>
        <w:t xml:space="preserve">(9) Die Aufsichtsbehörde muss dem Antragsteller innerhalb von vier Monaten nach Eingang der vollständigen Unterlagen, spätestens aber innerhalb von sechs Monaten nach Eingang des Zulassungsantrags oder des Antrags auf Befreiung von der Zulassungspflicht mitteilen, ob die Zulassung oder die Befreiung von der Zulassungspflicht erteilt oder versagt wird.</w:t>
      </w:r>
    </w:p>
    <w:p>
      <w:r>
        <w:t xml:space="preserve">(10) Die Aufsichtsbehörde hat auf ihrer Internetseite ein Register zu führen, in das sie einmal jährlich alle im Inland zugelassenen oder nach Absatz 4 Satz 1 von der Zulassungspflicht befreiten Finanzholding-Gesellschaften und gemischten Finanzholding-Gesellschaften einzutragen hat. Bei einer nach Absatz 4 Satz 1 von der Zulassungspflicht befreiten Finanzholding-Gesellschaft oder gemischten Finanzholding-Gesellschaft ist zusätzlich das im Sinne des Absatzes 4 Satz 1 Nummer 3 übergeordnete Unternehmen einzutragen. Das Bundesministerium der Finanzen kann durch Rechtsverordnung, die nicht der Zustimmung des Bundesrates bedarf, nähere Bestimmungen zum Inhalt des Registers und zu den Mitwirkungspflichten der Finanzholding-Gesellschaften und gemischten Finanzholding-Gesellschaften bei der Führung des Registers erlassen.</w:t>
      </w:r>
    </w:p>
    <w:p>
      <w:r>
        <w:rPr>
          <w:color w:val="555555"/>
          <w:sz w:val="17"/>
        </w:rPr>
        <w:t xml:space="preserve">Zitiervorschlag: § 2f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