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2e KredWG — Ausnahmen für gemischte Finanzholding-Gesellschaften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Unterliegt eine gemischte Finanzholding-Gesellschaft, insbesondere im Hinblick auf eine risikobasierte Beaufsichtigung, gleichwertigen Bestimmungen nach Maßgabe der Richtlinie 2013/36/EU und der Richtlinie 2002/87/EG, so kann die Aufsichtsbehörde nach Konsultation der für die Beaufsichtigung von Tochterunternehmen zuständigen Stellen auf die gemischte Finanzholding-Gesellschaft nur die einschlägigen Bestimmungen der Richtlinie 2002/87/EG anwenden.</w:t>
      </w:r>
    </w:p>
    <w:p>
      <w:r>
        <w:t xml:space="preserve">(2) Unterliegt eine gemischte Finanzholding-Gesellschaft, insbesondere im Hinblick auf eine risikobasierte Beaufsichtigung, gleichwertigen Bestimmungen nach Maßgabe der Richtlinie 2013/36/EU und der Richtlinie 2009/138/EG, so kann die Aufsichtsbehörde im Einvernehmen mit der für die Gruppenaufsicht im Versicherungswesen zuständigen Stelle auf die gemischte Finanzholding-Gesellschaft nur die Bestimmungen der Richtlinie anwenden, die sich auf die am stärksten vertretene Finanzbranche nach § 8 Absatz 2 des Finanzkonglomerate-Aufsichtsgesetzes bezieht.</w:t>
      </w:r>
    </w:p>
    <w:p>
      <w:r>
        <w:rPr>
          <w:color w:val="555555"/>
          <w:sz w:val="17"/>
        </w:rPr>
        <w:t xml:space="preserve">Zitiervorschlag: § 2e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