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KredWG — Rechtsform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Kreditinstitute, die eine Erlaubnis nach § 32 Absatz 1 benötigen, dürfen nicht in der Rechtsform des Einzelkaufmanns betrieben werden.</w:t>
      </w:r>
    </w:p>
    <w:p>
      <w:r>
        <w:t xml:space="preserve">(2) Unternehmen, die die Finanzdienstleistungen des Factorings nach § 1 Absatz 1a Satz 2 Nummer 9 oder des Finanzierungsleasings nach § 1 Absatz 1a Satz 2 Nummer 10 erbringen, dürfen nicht in der Rechtsform des Einzelkaufmanns betrieben werden.</w:t>
      </w:r>
    </w:p>
    <w:p>
      <w:r>
        <w:rPr>
          <w:color w:val="555555"/>
          <w:sz w:val="17"/>
        </w:rPr>
        <w:t xml:space="preserve">Zitiervorschlag: § 2b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