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KredWG — Besondere Pflichten des Prüfers</w:t>
      </w:r>
    </w:p>
    <w:p>
      <w:r>
        <w:rPr>
          <w:color w:val="555555"/>
          <w:sz w:val="18"/>
        </w:rPr>
        <w:t xml:space="preserve">Kreditwesengesetz</w:t>
      </w:r>
    </w:p>
    <w:p>
      <w:r>
        <w:rPr>
          <w:color w:val="555555"/>
          <w:sz w:val="18"/>
        </w:rPr>
        <w:t xml:space="preserve">Stand: 25.06.2026 (konsolidierte Textfassung, kein amtliches Inkrafttretensdatum)</w:t>
      </w:r>
    </w:p>
    <w:p>
      <w:r>
        <w:t xml:space="preserve">(1) Als Teil der Prüfung des Jahresabschlusses sowie eines Zwischenabschlusses hat der Prüfer auch die wirtschaftlichen Verhältnisse des Instituts zu prüfen. Bei der Prüfung des Jahresabschlusses hat er insbesondere festzustellen, ob das Institut die folgenden Anzeigepflichten und Anforderungen erfüllt hat:</w:t>
      </w:r>
    </w:p>
    <w:p>
      <w:pPr>
        <w:ind w:left="420"/>
      </w:pPr>
      <w:r>
        <w:t xml:space="preserve">1. die Anzeigepflichten nach den §§ 11, 12a, 14 Absatz 1 sowie nach der Verordnung (EU) Nr. 575/2013 in ihrer jeweils geltenden Fassung, nach den §§ 15, 24 und 24a jeweils auch in Verbindung mit einer Rechtsverordnung nach § 24 Absatz 4 Satz 1, nach § 24a auch in Verbindung mit einer Rechtsverordnung nach § 24a Absatz 5, sowie</w:t>
      </w:r>
    </w:p>
    <w:p>
      <w:pPr>
        <w:ind w:left="420"/>
      </w:pPr>
      <w:r>
        <w:t xml:space="preserve">2. die Anforderungen</w:t>
      </w:r>
    </w:p>
    <w:p>
      <w:pPr>
        <w:ind w:left="780"/>
      </w:pPr>
      <w:r>
        <w:t xml:space="preserve">a) nach § 3 Absatz 2 und 3, nach den §§ 10a, 10c bis 10j jeweils auch in Verbindung mit einer Rechtsverordnung nach § 10 Absatz 1 Satz 1 Nummer 5, nach den §§ 11, 13 bis 13c, 18, 18a, 25 Absatz 1 und 2, § 25a Absatz 1 Satz 3 jeweils auch in Verbindung mit einer Rechtsverordnung nach § 25 Absatz 3 und § 25a Absatz 5 auch in Verbindung mit einer Rechtsverordnung nach § 25a Absatz 6, nach § 25a Absatz 1 Satz 6 Nummer 1, Absatz 3, nach den §§ 25b, 25c Absatz 2 bis 4b, § 25d Absatz 3 bis 12, nach den §§ 26a und 26b, nach § 13, nach den §§ 26c und 26d, nach § 51a Absatz 1 auch in Verbindung mit einer Rechtsverordnung nach § 51a Absatz 1, nach § 51b Absatz 1 auch in Verbindung mit einer Rechtsverordnung nach § 51b Absatz 2 und nach § 51c Absatz 1,</w:t>
      </w:r>
    </w:p>
    <w:p>
      <w:pPr>
        <w:ind w:left="780"/>
      </w:pPr>
      <w:r>
        <w:t xml:space="preserve">b) nach den §§ 17, 20, 23, 25 und 27 des Finanzkonglomerate-Aufsichtsgesetzes,</w:t>
      </w:r>
    </w:p>
    <w:p>
      <w:pPr>
        <w:ind w:left="780"/>
      </w:pPr>
      <w:r>
        <w:t xml:space="preserve">c) nach Artikel 4 Absatz 1, 2, 3 Unterabsatz 2 und Absatz 3a, nach den Artikeln 4a und 7a Absatz 1 bis 5, nach Artikel 7b Absatz 1 und 2, nach Artikel 7c Absatz 1 bis 3, nach Artikel 7d Absatz 1, nach Artikel 9 Absatz 1 bis 3 sowie Artikel 11 Absatz 1 bis 11 Unterabsatz 1 und Absatz 12 der Verordnung (EU) Nr. 648/2012,</w:t>
      </w:r>
    </w:p>
    <w:p>
      <w:pPr>
        <w:ind w:left="780"/>
      </w:pPr>
      <w:r>
        <w:t xml:space="preserve">d) nach den Artikeln 92 bis 386 der Verordnung (EU) Nr. 575/2013 auch in Verbindung mit einer Rechtsverordnung nach § 10 Absatz 1 Satz 1, nach den Artikeln 387 bis 403 und 411 bis 430b der Verordnung (EU) Nr. 575/2013 auch in Verbindung mit einer Rechtsverordnung nach § 13 Absatz 1 Satz 1,</w:t>
      </w:r>
    </w:p>
    <w:p>
      <w:pPr>
        <w:ind w:left="780"/>
      </w:pPr>
      <w:r>
        <w:t xml:space="preserve">e) nach Artikel 4 Absatz 1 Unterabsatz 1, Artikel 5a Absatz 1 sowie nach den Artikeln 8b bis 8d der Verordnung (EG) Nr. 1060/2009 in der jeweils geltenden Fassung, soweit es nicht nach § 29 Absatz 2 in Verbindung mit § 89 Absatz 1 Satz 1 des Wertpapierhandelsgesetzes geprüft wird,</w:t>
      </w:r>
    </w:p>
    <w:p>
      <w:pPr>
        <w:ind w:left="780"/>
      </w:pPr>
      <w:r>
        <w:t xml:space="preserve">f) nach Artikel 9 der Verordnung (EU) Nr. 909/2014 sowie von der Europäischen Kommission erlassener darauf basierender technischer Regulierungs- und Durchführungsstandards,</w:t>
      </w:r>
    </w:p>
    <w:p>
      <w:pPr>
        <w:ind w:left="780"/>
      </w:pPr>
      <w:r>
        <w:t xml:space="preserve">g) nach Artikel 4 Absatz 1 bis 5 und Artikel 15 der Verordnung (EU) 2015/2365 des Europäischen Parlaments und des Rates vom 25. November 2015 über die Transparenz von Wertpapierfinanzierungsgeschäften und der Weiterverwendung sowie zur Änderung der Verordnung (EU) Nr. 648/2012 (ABl. L 337 vom 23.12.2015, S. 1),</w:t>
      </w:r>
    </w:p>
    <w:p>
      <w:pPr>
        <w:ind w:left="780"/>
      </w:pPr>
      <w:r>
        <w:t xml:space="preserve">h) nach den Artikeln 16, 23 Absatz 3 Satz 1, Absatz 5, 6 und 10, nach Artikel 28 Absatz 2 sowie nach Artikel 29 der Verordnung (EU) 2016/1011 des Europäischen Parlaments und des Rates vom 8. Juni 2016 über Indizes, die bei Finanzinstrumenten und Finanzkontrakten als Referenzwert oder zur Messung der Weiterentwicklung eines Investmentfonds verwendet werden, und zur Änderung der Richtlinien 2008/48/EG und 2014/17/EU sowie der Verordnung (EU) Nr. 596/2014 (ABl. L 171 vom 29.6.2016, S. 1),</w:t>
      </w:r>
    </w:p>
    <w:p>
      <w:pPr>
        <w:ind w:left="780"/>
      </w:pPr>
      <w:r>
        <w:t xml:space="preserve">i) nach Artikel 28 Absatz 1 bis 3 der Verordnung (EU) Nr. 600/2014,</w:t>
      </w:r>
    </w:p>
    <w:p>
      <w:pPr>
        <w:ind w:left="780"/>
      </w:pPr>
      <w:r>
        <w:t xml:space="preserve">j) nach den Artikeln 5 bis 9, 18 bis 26, 26b bis 26e, 27 Absatz 1 und 4 sowie nach Artikel 43 Absatz 5 und 6 der Verordnung (EU) 2017/2402,</w:t>
      </w:r>
    </w:p>
    <w:p>
      <w:pPr>
        <w:ind w:left="780"/>
      </w:pPr>
      <w:r>
        <w:t xml:space="preserve">k) nach § 5 Absatz 1 und 2 sowie den §§ 7 bis 14 und 16 bis 22 des Gesetzes über elektronische Wertpapiere, auch in Verbindung mit einer Rechtsverordnung nach § 15 oder § 23 des Gesetzes über elektronische Wertpapiere und</w:t>
      </w:r>
    </w:p>
    <w:p>
      <w:pPr>
        <w:ind w:left="780"/>
      </w:pPr>
      <w:r>
        <w:t xml:space="preserve">l) nach den Artikeln 3 bis 11 der Verordnung (EU) 2022/858 des Europäischen Parlaments und des Rates vom 30. Mai 2022 über eine Pilotregelung für auf Distributed-Ledger-Technologie basierende Marktinfrastrukturen und zur Änderung der Verordnungen (EU) Nr. 600/2014 und (EU) Nr. 909/2014 sowie der Richtlinie 2014/65/EU (ABl. L 151 vom 2.6.2022, S. 1), sofern die davon betroffenen Geschäfte von dem Institut erbracht werden und</w:t>
      </w:r>
    </w:p>
    <w:p>
      <w:pPr>
        <w:ind w:left="780"/>
      </w:pPr>
      <w:r>
        <w:t xml:space="preserve">m) nach den Artikeln 5 bis 14, 16 bis 19, 23 bis 25, 28 bis 30 und 45 Absatz 3 der Verordnung (EU) 2022/2554, auch in Verbindung mit einer Delegierten Verordnung nach den Artikeln 15, 16, 20, 28 oder Artikel 30 der Verordnung (EU) 2022/2554.</w:t>
      </w:r>
    </w:p>
    <w:p>
      <w:r>
        <w:t xml:space="preserve">Ist ein Institut nach § 2a Absatz 1 freigestellt, hat der Prüfer den Fortbestand der in Artikel 7 der Verordnung (EU) Nr. 575/2013 in der jeweils geltenden Fassung genannten Voraussetzungen zu prüfen. Ist ein Institut nach § 2a Absatz 3 freigestellt, hat der Prüfer den Fortbestand der in Artikel 8 der Verordnung (EU) Nr. 575/2013 in der jeweils geltenden Fassung genannten Voraussetzungen zu prüfen. Hat die Bundesanstalt nach § 30 gegenüber dem Institut Bestimmungen über den Inhalt der Prüfung getroffen, sind diese vom Prüfer zu berücksichtigen. Sofern dem haftenden Eigenkapital des Instituts nicht realisierte Reserven zugerechnet werden, hat der Prüfer bei der Prüfung des Jahresabschlusses auch zu prüfen, ob bei der Ermittlung dieser Reserven § 10 Absatz 4a bis 4c in der bis zum 31. Dezember 2013 geltenden Fassung beachtet worden ist. Bei einem Kreditinstitut, das aufgefordert wurde, einen Sanierungsplan nach § 12 des Sanierungs- und Abwicklungsgesetzes aufzustellen, hat der Prüfer auch zu prüfen, ob der Sanierungsplan die Voraussetzungen nach § 12 Absatz 1 sowie nach § 13 Absatz 1 bis 4 des Sanierungs- und Abwicklungsgesetzes erfüllt. Das Ergebnis ist in den Prüfungsbericht aufzunehmen.</w:t>
      </w:r>
    </w:p>
    <w:p>
      <w:r>
        <w:t xml:space="preserve">(1a) Absatz 1 gilt hinsichtlich der Anforderungen nach Artikel 4 Absatz 1, 2, 3 Unterabsatz 2 und Absatz 3a, nach den Artikeln 4a und 7a Absatz 1 bis 5, nach Artikel 7b Absatz 1 und 2, nach Artikel 7c Absatz 1 bis 3, nach Artikel 7d Absatz 1, nach Artikel 9 Absatz 1 bis 3 sowie Artikel 11 Absatz 1 bis 11 Unterabsatz 1 und Absatz 12 der Verordnung (EU) Nr. 648/2012 für die Prüfung des Jahresabschlusses von zentralen Gegenparteien mit der Maßgabe, dass der Prüfer zusätzlich zu prüfen hat, ob die Anforderungen nach Artikel 7 Absatz 1 bis 4, den Artikeln 7e, 8 Absatz 1 bis 4, den Artikeln 26, 29 und 33 bis 54 der Verordnung (EU) Nr. 648/2012 und nach Artikel 29 Absatz 2, den Artikeln 30 und 35 der Verordnung (EU) Nr. 600/2014 sowie der gemäß diesen Artikeln erlassenen technischen Regulierungsstandards eingehalten sind. Satz 1 gilt entsprechend für den verkürzten Abschluss einer zentralen Gegenpartei, wenn ein solcher Abschluss nach den gesetzlichen Vorgaben zu erstellen ist.</w:t>
      </w:r>
    </w:p>
    <w:p>
      <w:r>
        <w:t xml:space="preserve">(1b) Bei der Prüfung des Jahresabschlusses eines Zentralverwahrers ist auch zu prüfen, ob die Anforderungen nach den Artikeln 6, 7, 26 bis 53, 54 Absatz 3 und nach Artikel 59 der Verordnung (EU) Nr. 909/2014 sowie nach den gemäß diesen Artikeln von der Europäischen Kommission erlassenen technischen Regulierungs- und Durchführungsstandards eingehalten sind. Bei der Prüfung des Jahresabschlusses eines Kreditinstituts, das von einem Zentralverwahrer nach Artikel 54 Absatz 4 der Verordnung (EU) Nr. 909/2014 dazu benannt wurde, bankartige Nebendienstleistungen zu erbringen, ist zudem zu prüfen, ob die Anforderungen nach Artikel 54 Absatz 4 und Artikel 59 der Verordnung (EU) Nr. 909/2014 sowie nach den gemäß diesen Artikeln von der Europäischen Kommission erlassenen technischen Regulierungs- und Durchführungsstandards eingehalten sind. Die Sätze 1 und 2 gelten entsprechend für den verkürzten Abschluss eines Zentralverwahrers, wenn ein solcher nach den gesetzlichen Vorgaben zu erstellen ist.</w:t>
      </w:r>
    </w:p>
    <w:p>
      <w:r>
        <w:t xml:space="preserve">(2) Der Prüfer hat auch zu prüfen, ob das Institut seinen Verpflichtungen nach den §§ 24c und 25g Absatz 1 und 2, den §§ 25h bis 25m und dem Geldwäschegesetz nachgekommen ist; bei Kreditinstituten hat der Prüfer auch zu prüfen, ob das Kreditinstitut seinen Verpflichtungen nach der Verordnung (EU) 2021/1230, der Verordnung (EU) Nr. 260/2012, der Verordnung (EU) 2023/1113, der Verordnung (EU) 2015/751, dem Zahlungskontengesetz und den §§ 45, 46 und 48 bis 55 des Zahlungsdiensteaufsichtsgesetzes nachgekommen ist. Zudem hat er die Einhaltung der Mitteilungs- und Veröffentlichungspflichten und sonstigen Anforderungen der Artikel 5 bis 10 und 12 bis 14 der Verordnung (EU) Nr. 236/2012 des Europäischen Parlaments und des Rates vom 14. März 2012 über Leerverkäufe und bestimmte Aspekte von Credit Default Swaps (ABl. L 86 vom 24.3.2012, S. 1) zu prüfen. Bei Instituten, Zweigniederlassungen im Sinne des § 53b und Zweigstellen im Sinne des § 53, die das Depotgeschäft oder als Verwahrer im Sinne des Kapitalanlagegesetzbuches das Depotgeschäft zusammen mit der Kryptowertpapierregisterführung betreiben, hat er dieses Geschäft besonders zu prüfen, soweit es nicht nach § 89 Absatz 1 Satz 2 des Wertpapierhandelsgesetzes zu prüfen ist; diese Prüfung hat sich auch auf die Einhaltung des § 67a Absatz 3 und des § 67b, jeweils auch in Verbindung mit § 125 Absatz 1, 2 und 5 des Aktiengesetzes über Mitteilungspflichten und des § 135 des Aktiengesetzes über die Ausübung des Stimmrechts zu erstrecken. Bei Zentralverwahrern ist auch besonders zu prüfen, ob die Bestimmungen des Depotgesetzes, der §§ 7 bis 10 und 12 und 13 des Gesetzes über elektronische Wertpapiere, auch in Verbindung mit einer Rechtsverordnung nach § 15 des Gesetzes über elektronische Wertpapiere, sowie des § 67a Absatz 3, des § 67b, jeweils auch in Verbindung mit § 125 Absatz 1, 2 und 5 und des § 135 des Aktiengesetzes eingehalten werden. Bei Pfandbriefbanken im Sinne des § 1 Absatz 1 Satz 1 des Pfandbriefgesetzes ist die Einhaltung der organisatorischen Anforderungen an die Verfahren und Systeme aus § 4 Absatz 4, den §§ 4b, 5, 16, 24, 26d, 27, 27a sowie 28 des Pfandbriefgesetzes zu prüfen. Über die Prüfungen nach den Sätzen 1 bis 5 ist jeweils gesondert zu berichten; § 26 Abs. 1 Satz 3 gilt entsprechend.</w:t>
      </w:r>
    </w:p>
    <w:p>
      <w:r>
        <w:t xml:space="preserve">(3) Der Prüfer hat unverzüglich der Bundesanstalt und der Deutschen Bundesbank anzuzeigen, wenn ihm bei der Prüfung Tatsachen bekannt werden, welche die Einschränkung oder Versagung des Bestätigungsvermerkes rechtfertigen, die den Bestand des Instituts gefährden oder seine Entwicklung wesentlich beeinträchtigen können, die einen erheblichen Verstoß gegen die Vorschriften über die Zulassungsvoraussetzungen des Instituts oder die Ausübung einer Tätigkeit nach diesem Gesetz darstellen oder die schwerwiegende Verstöße der Geschäftsleiter gegen Gesetz, Satzung oder Gesellschaftsvertrag erkennen lassen. Auf Verlangen der Bundesanstalt oder der Deutschen Bundesbank hat der Prüfer ihnen die Art und den Umfang seines Vorgehens darzustellen, den Prüfungsbericht zu erläutern und sonstige bei der Prüfung bekannt gewordene Tatsachen mitzuteilen, die gegen eine ordnungsgemäße Durchführung der Geschäfte des Instituts sprechen. Die Anzeige-, Erläuterungs- und Mitteilungspflichten nach den Sätzen 1 und 2 bestehen auch in Bezug auf ein Unternehmen, das mit dem Institut in enger Verbindung steht, sofern dem Prüfer die Tatsachen im Rahmen der Prüfung des Instituts bekannt werden. Der Prüfer haftet nicht für die Richtigkeit von Tatsachen, die er nach diesem Absatz in gutem Glauben anzeigt.</w:t>
      </w:r>
    </w:p>
    <w:p>
      <w:r>
        <w:t xml:space="preserve">(4) Das Bundesministerium der Finanzen wird ermächtigt, im Einvernehmen mit dem Bundesministerium der Justiz und für Verbraucherschutz und nach Anhörung der Deutschen Bundesbank durch Rechtsverordnung nähere Bestimmungen über</w:t>
      </w:r>
    </w:p>
    <w:p>
      <w:pPr>
        <w:ind w:left="420"/>
      </w:pPr>
      <w:r>
        <w:t xml:space="preserve">1. den Gegenstand der Prüfung nach den Absätzen 1 bis 2,</w:t>
      </w:r>
    </w:p>
    <w:p>
      <w:pPr>
        <w:ind w:left="420"/>
      </w:pPr>
      <w:r>
        <w:t xml:space="preserve">2. den Zeitpunkt ihrer Durchführung und</w:t>
      </w:r>
    </w:p>
    <w:p>
      <w:pPr>
        <w:ind w:left="420"/>
      </w:pPr>
      <w:r>
        <w:t xml:space="preserve">3. den Inhalt und die Form der Prüfungsberichte</w:t>
      </w:r>
    </w:p>
    <w:p>
      <w:r>
        <w:t xml:space="preserve">zu erlassen, soweit dies zur Erfüllung der Aufgaben der Bundesanstalt erforderlich ist, insbesondere um Missstände, welche die Sicherheit der einem Institut anvertrauten Vermögenswerte gefährden oder die ordnungsgemäße Durchführung der Bankgeschäfte oder Finanzdienstleistungen beeinträchtigen können, zu erkennen sowie einheitliche Unterlagen zur Beurteilung der von den Instituten durchgeführten Geschäfte zu erhalten. In der Rechtsverordnung kann bestimmt werden, dass die in den Absätzen 1 bis 3 geregelten Pflichten auch bei der Prüfung des Konzernabschlusses einer Institutsgruppe, Finanzholding-Gruppe oder gemischten Finanzholding-Gruppe oder eines Finanzkonglomerats einzuhalten sind; nähere Bestimmungen über den Gegenstand der Prüfung, den Zeitpunkt ihrer Durchführung und den Inhalt des Prüfungsberichts können dabei nach Maßgabe des Satzes 1 erlassen werden. Das Bundesministerium der Finanzen kann die Ermächtigung durch Rechtsverordnung auf die Bundesanstalt übertragen.</w:t>
      </w:r>
    </w:p>
    <w:p>
      <w:r>
        <w:rPr>
          <w:color w:val="555555"/>
          <w:sz w:val="17"/>
        </w:rPr>
        <w:t xml:space="preserve">Zitiervorschlag: § 29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