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KredWG — Bestellung des Prüfers in besonderen Fällen</w:t>
      </w:r>
    </w:p>
    <w:p>
      <w:r>
        <w:rPr>
          <w:color w:val="555555"/>
          <w:sz w:val="18"/>
        </w:rPr>
        <w:t xml:space="preserve">Kreditwesengesetz</w:t>
      </w:r>
    </w:p>
    <w:p>
      <w:r>
        <w:rPr>
          <w:color w:val="555555"/>
          <w:sz w:val="18"/>
        </w:rPr>
        <w:t xml:space="preserve">Stand: 01.04.2026 (konsolidierte Textfassung, kein amtliches Inkrafttretensdatum)</w:t>
      </w:r>
    </w:p>
    <w:p>
      <w:r>
        <w:t xml:space="preserve">(1) Die Institute haben der Bundesanstalt und der Deutschen Bundesbank den von ihnen bestellten Prüfer unverzüglich nach der Bestellung anzuzeigen. Die Bundesanstalt kann innerhalb von zwei Monaten nach Zugang der Anzeige die Bestellung eines anderen Prüfers verlangen, wenn dies zur Erreichung des Prüfungszwecks geboten ist. Die Bestellung eines anderen Prüfers ist in der Regel zur Erreichung des Prüfungszwecks geboten, wenn ein Institut, das kein Unternehmen von öffentlichem Interesse nach § 316a Satz 2 Nummer 1 oder 2 des Handelsgesetzbuchs ist, der Bundesanstalt für mindestens elf aufeinanderfolgende Geschäftsjahre denselben Prüfer angezeigt hat. Hat das Institut eine Wirtschaftsprüfungsgesellschaft zum Prüfer bestellt, die in einem der beiden vorangegangenen Geschäftsjahre Prüfer des Instituts war, kann die Bundesanstalt den Wechsel des verantwortlichen Prüfungspartners verlangen, wenn die vorangegangene Prüfung einschließlich des Prüfungsberichts den Prüfungszweck nicht erfüllt hat; § 43 Absatz 3 Satz 3 der Wirtschaftsprüferordnung gilt entsprechend. Die Bundesanstalt kann die Bestellung eines anderen Prüfers oder den Wechsel des verantwortlichen Prüfungspartners auch dann verlangen, wenn ihr Tatsachen bekannt werden, die die Annahme rechtfertigen, dass der Prüfer seine Pflichten nach § 29 Absatz 3 verletzt hat.</w:t>
      </w:r>
    </w:p>
    <w:p>
      <w:r>
        <w:t xml:space="preserve">(2) Das Gericht des Sitzes des Instituts hat auf Antrag der Bundesanstalt einen Prüfer zu bestellen, wenn</w:t>
      </w:r>
    </w:p>
    <w:p>
      <w:pPr>
        <w:ind w:left="420"/>
      </w:pPr>
      <w:r>
        <w:t xml:space="preserve">1. die Anzeige nach Absatz 1 Satz 1 nicht unverzüglich nach Ablauf des Geschäftsjahres erstattet wird;</w:t>
      </w:r>
    </w:p>
    <w:p>
      <w:pPr>
        <w:ind w:left="420"/>
      </w:pPr>
      <w:r>
        <w:t xml:space="preserve">2. das Institut dem Verlangen auf Bestellung eines anderen Prüfers nach Absatz 1 Satz 2 oder 5 nicht unverzüglich nachkommt;</w:t>
      </w:r>
    </w:p>
    <w:p>
      <w:pPr>
        <w:ind w:left="420"/>
      </w:pPr>
      <w:r>
        <w:t xml:space="preserve">3. der gewählte Prüfer die Annahme des Prüfungsauftrages abgelehnt hat, weggefallen ist oder am rechtzeitigen Abschluß der Prüfung verhindert ist und das Institut nicht unverzüglich einen anderen Prüfer bestellt hat.</w:t>
      </w:r>
    </w:p>
    <w:p>
      <w:r>
        <w:t xml:space="preserve">Die Bestellung durch das Gericht ist endgültig. § 318 Abs. 5 des Handelsgesetzbuchs ist entsprechend anzuwenden. Das Gericht kann auf Antrag der Bundesanstalt einen nach Satz 1 bestellten Prüfer abberufen.</w:t>
      </w:r>
    </w:p>
    <w:p>
      <w:r>
        <w:t xml:space="preserve">(3) Absatz 1 Satz 1 bis 3 und Absatz 2 gelten nicht für Kreditinstitute, die einem genossenschaftlichen Prüfungsverband angehören oder durch die Prüfungsstelle eines Sparkassen- und Giroverbandes geprüft werden. Absatz 1 Satz 4 und 5 gilt gegenüber diesen Kreditinstituten mit der Maßgabe entsprechend, dass die Bundesanstalt den Wechsel des verantwortlichen Prüfungspartners verlangen kann.</w:t>
      </w:r>
    </w:p>
    <w:p>
      <w:r>
        <w:rPr>
          <w:color w:val="555555"/>
          <w:sz w:val="17"/>
        </w:rPr>
        <w:t xml:space="preserve">Zitiervorschlag: § 28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