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26a KredWG — Offenlegung durch die Institute</w:t>
      </w:r>
    </w:p>
    <w:p>
      <w:r>
        <w:rPr>
          <w:color w:val="555555"/>
          <w:sz w:val="18"/>
        </w:rPr>
        <w:t xml:space="preserve">Kreditwesengesetz</w:t>
      </w:r>
    </w:p>
    <w:p>
      <w:r>
        <w:rPr>
          <w:color w:val="555555"/>
          <w:sz w:val="18"/>
        </w:rPr>
        <w:t xml:space="preserve">Stand: 10.04.2026 (konsolidierte Textfassung, kein amtliches Inkrafttretensdatum)</w:t>
      </w:r>
    </w:p>
    <w:p>
      <w:r>
        <w:t xml:space="preserve">(1) Zusätzlich zu den Angaben, die nach den Artikeln 435 bis 455 der Verordnung (EU) Nr. 575/2013 in der jeweils geltenden Fassung zu machen sind, sind die rechtliche und die organisatorische Struktur sowie die Grundsätze einer ordnungsgemäßen Geschäftsführung der Gruppe darzustellen. Die CRR-Kreditinstitute haben darüber hinaus auf konsolidierter Basis, aufgeschlüsselt nach Mitgliedstaaten der Europäischen Union und Drittstaaten, in denen die Institute über Niederlassungen verfügen, folgende Angaben in eine Anlage zum Jahresabschluss im Sinne des § 26 Absatz 1 Satz 2 aufzunehmen, von einem Abschlussprüfer nach Maßgabe des § 340k des Handelsgesetzbuchs prüfen zu lassen und offenzulegen:</w:t>
      </w:r>
    </w:p>
    <w:p>
      <w:pPr>
        <w:ind w:left="420"/>
      </w:pPr>
      <w:r>
        <w:t xml:space="preserve">1. die Firmenbezeichnungen, die Art der Tätigkeiten und die geografische Lage der Niederlassungen,</w:t>
      </w:r>
    </w:p>
    <w:p>
      <w:pPr>
        <w:ind w:left="420"/>
      </w:pPr>
      <w:r>
        <w:t xml:space="preserve">2. den Umsatz,</w:t>
      </w:r>
    </w:p>
    <w:p>
      <w:pPr>
        <w:ind w:left="420"/>
      </w:pPr>
      <w:r>
        <w:t xml:space="preserve">3. die Anzahl der Lohn- und Gehaltsempfänger in Vollzeitäquivalenten,</w:t>
      </w:r>
    </w:p>
    <w:p>
      <w:pPr>
        <w:ind w:left="420"/>
      </w:pPr>
      <w:r>
        <w:t xml:space="preserve">4. Gewinn oder Verlust vor Steuern,</w:t>
      </w:r>
    </w:p>
    <w:p>
      <w:pPr>
        <w:ind w:left="420"/>
      </w:pPr>
      <w:r>
        <w:t xml:space="preserve">5. Steuern auf Gewinn oder Verlust,</w:t>
      </w:r>
    </w:p>
    <w:p>
      <w:pPr>
        <w:ind w:left="420"/>
      </w:pPr>
      <w:r>
        <w:t xml:space="preserve">6. erhaltene öffentliche Beihilfen.</w:t>
      </w:r>
    </w:p>
    <w:p>
      <w:r>
        <w:t xml:space="preserve">Ist das CRR-Kreditinstitut in den Konzernabschluss eines anderen Mutterunternehmens mit Sitz in einem Mitgliedstaat der Europäischen Union oder in einem Vertragsstaat des Abkommens über den Europäischen Wirtschaftsraum einbezogen, das den Anforderungen der Richtlinie 2013/36/EU unterworfen ist, braucht es die Angaben nach Satz 2 nicht zu machen. In ihrem Jahresbericht legen die CRR-Kreditinstitute ihre Kapitalrendite, berechnet als Quotient aus Nettogewinn und Bilanzsumme offen. Global systemrelevante Institute, die im Inland zugelassen sind, sind verpflichtet, der Europäischen Kommission die in Satz 2 Nummer 4 bis 6 genannten Angaben bis zum 1. Juli 2014 auf vertraulicher Basis zu übermitteln. Das Nähere zu den Anforderungen in Satz 2 bis 5 regelt die Rechtsverordnung nach § 10 Absatz 1 Satz 1 Nummer 10.</w:t>
      </w:r>
    </w:p>
    <w:p>
      <w:r>
        <w:t xml:space="preserve">(2) Kommt ein Institut seinen Offenlegungspflichten in anderen als den in Artikel 432 der Verordnung (EU) Nr. 575/2013 genannten Fällen nicht, nicht richtig, nicht vollständig oder nicht rechtzeitig nach, kann die Aufsichtsbehörde im Einzelfall Anordnungen treffen, die geeignet und erforderlich sind, die ordnungsgemäße Offenlegung der Informationen zu veranlassen. Die Aufsichtsbehörde kann von den Artikeln 433 bis 434 der Verordnung (EU) Nr. 575/2013 abweichende Zeitpunkte und Orte für die Veröffentlichung festlegen oder die Offenlegung zusätzlicher Informationen verlangen. Die Aufsichtsbehörde kann Instituten, die keine kleinen und nicht komplexen Institute im Sinne des Artikels 4 Absatz 1 Unterabsatz 1 Nummer 145 der Verordnung (EU) 575/2013 sind, Fristen setzen für die Übermittlung von zu veröffentlichenden Informationen an die Europäische Bankenaufsichtsbehörde für deren zentralisierte Offenlegungen.</w:t>
      </w:r>
    </w:p>
    <w:p>
      <w:r>
        <w:rPr>
          <w:color w:val="555555"/>
          <w:sz w:val="17"/>
        </w:rPr>
        <w:t xml:space="preserve">Zitiervorschlag: § 26a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