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25n KredWG — Einstufung als bedeutendes Institut</w:t>
      </w:r>
    </w:p>
    <w:p>
      <w:r>
        <w:rPr>
          <w:color w:val="555555"/>
          <w:sz w:val="18"/>
        </w:rPr>
        <w:t xml:space="preserve">Kreditwesengesetz</w:t>
      </w:r>
    </w:p>
    <w:p>
      <w:r>
        <w:rPr>
          <w:color w:val="555555"/>
          <w:sz w:val="18"/>
        </w:rPr>
        <w:t xml:space="preserve">Außer Kraft: § 25n ist seit 29.12.2020 nicht mehr im KredWG enthalten. Angezeigt wird die letzte bekannte Fassung, Stand 10.06.2019.</w:t>
      </w:r>
    </w:p>
    <w:p>
      <w:r>
        <w:t xml:space="preserve">(1) Ein Institut ist bedeutend im Sinne des § 25a Absatz 5a, wenn seine Bilanzsumme im Durchschnitt zu den jeweiligen Stichtagen der letzten drei abgeschlossenen Geschäftsjahre 15 Milliarden Euro erreicht oder überschritten hat, es sei denn, das Institut weist der Aufsichtsbehörde gemäß § 1 Absatz 5 des Kreditwesengesetzes auf der Grundlage einer Risikoanalyse gemäß Absatz 5 nach, dass es nicht bedeutend ist.</w:t>
      </w:r>
    </w:p>
    <w:p>
      <w:r>
        <w:t xml:space="preserve">(2) Als bedeutende Institute im Sinne des Absatzes 1 gelten</w:t>
      </w:r>
    </w:p>
    <w:p>
      <w:pPr>
        <w:ind w:left="420"/>
      </w:pPr>
      <w:r>
        <w:t xml:space="preserve">1. Institute, die eine der Bedingungen gemäß Artikel 6 Absatz 4 Unterabsatz 2 der Verordnung (EU) Nr. 1024/2013 des Rates vom 15. Oktober 2013 zur Übertragung besonderer Aufgaben im Zusammenhang mit der Aufsicht über Kreditinstitute auf die Europäische Zentralbank (ABl. L 287 vom 29.10.2013, S. 63; L 218 vom 19.8.2015, S. 82) erfüllen,</w:t>
      </w:r>
    </w:p>
    <w:p>
      <w:pPr>
        <w:ind w:left="420"/>
      </w:pPr>
      <w:r>
        <w:t xml:space="preserve">2. Institute, die als potenziell systemgefährdend gemäß § 20 Absatz 1 Satz 3 des Sanierungs- und Abwicklungsgesetzes eingestuft wurden, und</w:t>
      </w:r>
    </w:p>
    <w:p>
      <w:pPr>
        <w:ind w:left="420"/>
      </w:pPr>
      <w:r>
        <w:t xml:space="preserve">3. Finanzhandelsinstitute gemäß § 25f Absatz 1.</w:t>
      </w:r>
    </w:p>
    <w:p>
      <w:r>
        <w:t xml:space="preserve">(3) Die Aufsichtsbehörde gemäß § 1 Absatz 5 kann ein Institut, dessen Bilanzsumme im Durchschnitt zu den jeweiligen Stichtagen der letzten drei abgeschlossenen Geschäftsjahre 15 Milliarden Euro nicht erreicht hat, als bedeutend im Sinne des Absatzes 1 einstufen, wenn dies hinsichtlich der Vergütungsstruktur des Instituts sowie hinsichtlich von Art, Umfang, Komplexität, Risikogehalt und Internationalität der Geschäftsaktivitäten geboten ist. Geboten ist eine Einstufung als bedeutend insbesondere dann, wenn</w:t>
      </w:r>
    </w:p>
    <w:p>
      <w:pPr>
        <w:ind w:left="420"/>
      </w:pPr>
      <w:r>
        <w:t xml:space="preserve">1. das Institut hohe außerbilanzielle Positionen aufweist, insbesondere in derivativen Instrumenten,</w:t>
      </w:r>
    </w:p>
    <w:p>
      <w:pPr>
        <w:ind w:left="420"/>
      </w:pPr>
      <w:r>
        <w:t xml:space="preserve">2. das Institut in hohem Umfang als Originator, Sponsor oder Investor von Verbriefungstransaktionen tätig ist oder sich hierfür einer Verbriefungszweckgesellschaft gemäß Artikel 4 Absatz 1 Nummer 66 der Verordnung (EU) Nr. 575/2013 bedient,</w:t>
      </w:r>
    </w:p>
    <w:p>
      <w:pPr>
        <w:ind w:left="420"/>
      </w:pPr>
      <w:r>
        <w:t xml:space="preserve">3. das Institut hohe Positionen im Handelsbuch gemäß Artikel 4 Absatz 1 Nummer 86 der Verordnung (EU) Nr. 575/2013 inne hat oder</w:t>
      </w:r>
    </w:p>
    <w:p>
      <w:pPr>
        <w:ind w:left="420"/>
      </w:pPr>
      <w:r>
        <w:t xml:space="preserve">4. die Vergütungsstrukturen innerhalb des Instituts durch einen hohen Anteil variabler Vergütung an der Gesamtvergütung gekennzeichnet sind.</w:t>
      </w:r>
    </w:p>
    <w:p>
      <w:r>
        <w:t xml:space="preserve">(4) Wird ein gruppenangehöriges Institut als bedeutend im Sinne des Absatzes 1 eingestuft, gelten auch alle anderen Institute, die derselben Gruppe angehören und deren jeweilige Bilanzsumme im Durchschnitt zu den jeweiligen Stichtagen der letzten drei abgeschlossenen Geschäftsjahre 15 Milliarden Euro erreicht oder überschritten hat, als bedeutend.</w:t>
      </w:r>
    </w:p>
    <w:p>
      <w:r>
        <w:t xml:space="preserve">(5) Bei der Risikoanalyse sind insbesondere die Größe des Instituts, seine Vergütungsstruktur sowie Art, Umfang, Komplexität, Risikogehalt und Internationalität der Geschäftsaktivitäten sowie die in Absatz 3 Satz 2 Nummer 1 bis 4 genannten Kriterien entsprechend zu berücksichtigen. Die Risikoanalyse muss plausibel, umfassend und für Dritte nachvollziehbar sein. Sie ist jährlich durchzuführen und schriftlich oder elektronisch zu dokumentieren.</w:t>
      </w:r>
    </w:p>
    <w:p>
      <w:r>
        <w:rPr>
          <w:color w:val="555555"/>
          <w:sz w:val="17"/>
        </w:rPr>
        <w:t xml:space="preserve">Zitiervorschlag: § 25n KredWG</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https://recht.nulegal.eu/gesetze/KredWG/25n</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