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25k KredWG — Verstärkte Sorgfaltspflichten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Abweichend von § 10 Absatz 3 Satz 1 Nummer 2 Buchstabe b des Geldwäschegesetzes bestehen die Sorgfaltspflichten nach § 10 Absatz 1 Nummer 1, 2 und 4 des Geldwäschegesetzes für Institute bei der Annahme von Bargeld ungeachtet etwaiger im Geldwäschegesetz oder in diesem Gesetz genannter Schwellenbeträge, soweit ein Sortengeschäft nach § 1 Absatz 1a Satz 2 Nummer 7 nicht über ein bei dem Institut eröffnetes Konto des Kunden abgewickelt wird und die Transaktion einen Wert von 2 500 Euro oder mehr aufweist.</w:t>
      </w:r>
    </w:p>
    <w:p>
      <w:r>
        <w:t xml:space="preserve">(2) Institute, die Factoring nach § 1 Absatz 1a Satz 2 Nummer 9 betreiben, haben angemessene Maßnahmen zu ergreifen, um einem erkennbar erhöhten Geldwäscherisiko bei der Annahme von Zahlungen von Debitoren zu begegnen, die bei Abschluss des Rahmenvertrags unbekannt waren.</w:t>
      </w:r>
    </w:p>
    <w:p>
      <w:r>
        <w:rPr>
          <w:color w:val="555555"/>
          <w:sz w:val="17"/>
        </w:rPr>
        <w:t xml:space="preserve">Zitiervorschlag: § 25k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https://recht.nulegal.eu/gesetze/KredWG/25k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