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25i KredWG — Allgemeine Sorgfaltspflichten in Bezug auf E-Geld</w:t>
      </w:r>
    </w:p>
    <w:p>
      <w:r>
        <w:rPr>
          <w:color w:val="555555"/>
          <w:sz w:val="18"/>
        </w:rPr>
        <w:t xml:space="preserve">Kreditwesengesetz</w:t>
      </w:r>
    </w:p>
    <w:p>
      <w:r>
        <w:rPr>
          <w:color w:val="555555"/>
          <w:sz w:val="18"/>
        </w:rPr>
        <w:t xml:space="preserve">Stand: 24.02.2022 (konsolidierte Textfassung, kein amtliches Inkrafttretensdatum)</w:t>
      </w:r>
    </w:p>
    <w:p>
      <w:r>
        <w:t xml:space="preserve">(1) Kreditinstitute haben bei der Ausgabe von E-Geld die Pflichten nach § 10 Absatz 1 des Geldwäschegesetzes zu erfüllen, auch wenn die Schwellenwerte nach § 10 Absatz 3 Nummer 2 des Geldwäschegesetzes nicht erreicht werden.</w:t>
      </w:r>
    </w:p>
    <w:p>
      <w:r>
        <w:t xml:space="preserve">(2) In den Fällen des Absatzes 1 können die Kreditinstitute unbeschadet des § 14 des Geldwäschegesetzes von den Pflichten nach § 10 Absatz 1 Nummer 1 bis 4 des Geldwäschegesetzes absehen, wenn</w:t>
      </w:r>
    </w:p>
    <w:p>
      <w:pPr>
        <w:ind w:left="420"/>
      </w:pPr>
      <w:r>
        <w:t xml:space="preserve">1. das Zahlungsinstrument nicht wieder aufgeladen werden kann oder wenn ein wiederaufladbares Zahlungsinstrument nur im Inland genutzt werden kann und die Zahlungsvorgänge, die mit ihm ausgeführt werden können, auf monatlich 150 Euro begrenzt sind,</w:t>
      </w:r>
    </w:p>
    <w:p>
      <w:pPr>
        <w:ind w:left="420"/>
      </w:pPr>
      <w:r>
        <w:t xml:space="preserve">2. der elektronisch gespeicherte Betrag 150 Euro nicht übersteigt,</w:t>
      </w:r>
    </w:p>
    <w:p>
      <w:pPr>
        <w:ind w:left="420"/>
      </w:pPr>
      <w:r>
        <w:t xml:space="preserve">3. das Zahlungsinstrument ausschließlich für den Kauf von Waren und Dienstleistungen genutzt wird,</w:t>
      </w:r>
    </w:p>
    <w:p>
      <w:pPr>
        <w:ind w:left="420"/>
      </w:pPr>
      <w:r>
        <w:t xml:space="preserve">4. das Zahlungsinstrument nicht mit anonymem E-Geld erworben oder aufgeladen werden kann,</w:t>
      </w:r>
    </w:p>
    <w:p>
      <w:pPr>
        <w:ind w:left="420"/>
      </w:pPr>
      <w:r>
        <w:t xml:space="preserve">5. das Kreditinstitut die Transaktionen oder die Geschäftsbeziehung in ausreichendem Umfang überwacht, um die Aufdeckung ungewöhnlicher oder verdächtiger Transaktionen zu ermöglichen, und</w:t>
      </w:r>
    </w:p>
    <w:p>
      <w:pPr>
        <w:ind w:left="420"/>
      </w:pPr>
      <w:r>
        <w:t xml:space="preserve">6. ein Rücktausch des E-Geldes durch Barauszahlung, sofern es sich um mehr als 50 Euro handelt, ausgeschlossen ist oder bei Fernzahlungsvorgängen im Sinne des § 1 Absatz 19 des Zahlungsdiensteaufsichtsgesetzes der gezahlte Betrag 50 Euro pro Transaktion nicht übersteigt.</w:t>
      </w:r>
    </w:p>
    <w:p>
      <w:r>
        <w:t xml:space="preserve">Beim Schwellenwert nach Satz 1 Nummer 1 ist es unerheblich, ob der E-Geld-Inhaber das E-Geld über einen Vorgang oder über verschiedene Vorgänge erwirbt, sofern Anhaltspunkte dafür vorliegen, dass zwischen den verschiedenen Vorgängen eine Verbindung besteht.</w:t>
      </w:r>
    </w:p>
    <w:p>
      <w:r>
        <w:t xml:space="preserve">(3) Soweit E-Geld über einen wiederaufladbaren E-Geld-Träger ausgegeben wird, hat das ausgebende Kreditinstitut Dateisysteme zu führen, in denen alle an identifizierte E-Geld-Inhaber ausgegebenen und zurückgetauschten E-Geld-Beträge mit Zeitpunkt und ausgebender oder rücktauschender Stelle aufgezeichnet werden. § 8 des Geldwäschegesetzes ist entsprechend anzuwenden.</w:t>
      </w:r>
    </w:p>
    <w:p>
      <w:r>
        <w:t xml:space="preserve">(3a) Kreditinstitute dürfen Zahlungen mit in Drittstaaten ausgestellten anonymen Guthabenkarten nur akzeptieren, wenn diese Karten die Anforderungen erfüllen, die den in Absatz 2 genannten gleichwertig sind.</w:t>
      </w:r>
    </w:p>
    <w:p>
      <w:r>
        <w:t xml:space="preserve">(4) Liegen Tatsachen vor, die die Annahme rechtfertigen, dass bei der Verwendung eines E-Geld-Trägers</w:t>
      </w:r>
    </w:p>
    <w:p>
      <w:pPr>
        <w:ind w:left="420"/>
      </w:pPr>
      <w:r>
        <w:t xml:space="preserve">1. die Voraussetzungen nach Absatz 2 nicht eingehalten werden oder</w:t>
      </w:r>
    </w:p>
    <w:p>
      <w:pPr>
        <w:ind w:left="420"/>
      </w:pPr>
      <w:r>
        <w:t xml:space="preserve">2. im Zusammenhang mit technischen Verwendungsmöglichkeiten des E-Geld-Trägers, dessen Vertrieb, Verkauf und der Einschaltung von bestimmten Akzeptanzstellen ein erhöhtes Risiko der Geldwäsche oder der Terrorismusfinanzierung nach § 1 Absatz 1 Nummer 1 und 2 des Geldwäschegesetzes oder ein erhöhtes Risiko sonstiger strafbarer Handlungen nach § 25h Absatz 1 besteht,</w:t>
      </w:r>
    </w:p>
    <w:p>
      <w:r>
        <w:t xml:space="preserve">so kann die Bundesanstalt dem Kreditinstitut, das das E-Geld ausgibt, Anordnungen erteilen. Insbesondere kann sie</w:t>
      </w:r>
    </w:p>
    <w:p>
      <w:pPr>
        <w:ind w:left="420"/>
      </w:pPr>
      <w:r>
        <w:t xml:space="preserve">1. die Ausgabe, den Verkauf und die Verwendung eines solchen E-Geld-Trägers untersagen,</w:t>
      </w:r>
    </w:p>
    <w:p>
      <w:pPr>
        <w:ind w:left="420"/>
      </w:pPr>
      <w:r>
        <w:t xml:space="preserve">2. sonstige geeignete und erforderliche technische Änderungen dieses E-Geld-Trägers verlangen oder</w:t>
      </w:r>
    </w:p>
    <w:p>
      <w:pPr>
        <w:ind w:left="420"/>
      </w:pPr>
      <w:r>
        <w:t xml:space="preserve">3. das E-Geld ausgebende Institut dazu verpflichten, dass es dem Risiko angemessene interne Sicherungsmaßnahmen ergreift.</w:t>
      </w:r>
    </w:p>
    <w:p>
      <w:r>
        <w:rPr>
          <w:color w:val="555555"/>
          <w:sz w:val="17"/>
        </w:rPr>
        <w:t xml:space="preserve">Zitiervorschlag: § 25i KredWG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https://recht.nulegal.eu/gesetze/KredWG/25i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