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25g KredWG — Einhaltung der besonderen organisatorischen Pflichten im bargeldlosen Zahlungsverkehr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Die Bundesanstalt überwacht die Einhaltung der Pflichten der Kreditinstitute nach</w:t>
      </w:r>
    </w:p>
    <w:p>
      <w:pPr>
        <w:ind w:left="420"/>
      </w:pPr>
      <w:r>
        <w:t xml:space="preserve">1. der Verordnung (EU) 2023/1113 in der Fassung vom 31. Mai 2023,</w:t>
      </w:r>
    </w:p>
    <w:p>
      <w:pPr>
        <w:ind w:left="420"/>
      </w:pPr>
      <w:r>
        <w:t xml:space="preserve">2. der Verordnung (EU) 2021/1230 des Europäischen Parlaments und des Rates vom 14. Juli 2021 über grenzüberschreitende Zahlungen in der Union (ABl. L 274 vom 30.7.2021, S. 20), die durch die Verordnung (EU) 2024/886 (ABl. L, 2024/886, 19.3.2024) geändert worden ist, mit Ausnahme der Pflichten nach den Artikeln 4 und 5 der Verordnung,</w:t>
      </w:r>
    </w:p>
    <w:p>
      <w:pPr>
        <w:ind w:left="420"/>
      </w:pPr>
      <w:r>
        <w:t xml:space="preserve">3. der Verordnung (EU) Nr. 260/2012 des Europäischen Parlaments und des Rates zur Festlegung der technischen Vorschriften und der Geschäftsanforderungen für Überweisungen und Lastschriften in Euro und zur Änderung der Verordnung (EG) Nr. 924/2009 (ABl. L 94 vom 30.3.2012, S. 22), die zuletzt durch die Verordnung (EU) 2024/886 (ABl. L, 2024/886, 19.3.2024) geändert worden ist, mit Ausnahme der Pflichten nach Artikel 5d der Verordnung, und</w:t>
      </w:r>
    </w:p>
    <w:p>
      <w:pPr>
        <w:ind w:left="420"/>
      </w:pPr>
      <w:r>
        <w:t xml:space="preserve">4. der Verordnung (EU) 2015/751 des Europäischen Parlaments und des Rates vom 29. April 2015 über Interbankenentgelte für kartengebundene Zahlungsvorgänge (ABl. L 123 vom 19.5.2015, S. 1).</w:t>
      </w:r>
    </w:p>
    <w:p>
      <w:r>
        <w:t xml:space="preserve">(2) Ein Kreditinstitut muss über interne Verfahren und Kontrollsysteme verfügen, die die Einhaltung der Pflichten nach den Verordnungen nach Absatz 1 Nummer 1 bis 4 gewährleisten.</w:t>
      </w:r>
    </w:p>
    <w:p>
      <w:r>
        <w:t xml:space="preserve">(3) Die Bundesanstalt kann gegenüber einem Kreditinstitut und seinen Geschäftsleitern Anordnungen treffen, die geeignet und erforderlich sind, um Verstöße gegen die Pflichten nach den Verordnungen nach Absatz 1 Nummer 1 bis 4 zu verhindern oder zu unterbinden.</w:t>
      </w:r>
    </w:p>
    <w:p>
      <w:r>
        <w:rPr>
          <w:color w:val="555555"/>
          <w:sz w:val="17"/>
        </w:rPr>
        <w:t xml:space="preserve">Zitiervorschlag: § 25g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https://recht.nulegal.eu/gesetze/KredWG/25g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