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25d KredWG — Verwaltungs- oder Aufsichtsorgan</w:t>
      </w:r>
    </w:p>
    <w:p>
      <w:r>
        <w:rPr>
          <w:color w:val="555555"/>
          <w:sz w:val="18"/>
        </w:rPr>
        <w:t xml:space="preserve">Kreditwesengesetz</w:t>
      </w:r>
    </w:p>
    <w:p>
      <w:r>
        <w:rPr>
          <w:color w:val="555555"/>
          <w:sz w:val="18"/>
        </w:rPr>
        <w:t xml:space="preserve">Stand: 10.04.2026 (konsolidierte Textfassung, kein amtliches Inkrafttretensdatum)</w:t>
      </w:r>
    </w:p>
    <w:p>
      <w:r>
        <w:t xml:space="preserve">(1) Die Mitglieder des Verwaltungs- oder Aufsichtsorgans eines Instituts, einer Finanzholding-Gesellschaft oder einer gemischten Finanzholding-Gesellschaft müssen zuverlässig sein, die erforderliche Sachkunde zur Wahrnehmung der Kontrollfunktion sowie zur Beurteilung und Überwachung der Geschäfte, die das jeweilige Unternehmen betreibt, besitzen und der Wahrnehmung ihrer Aufgaben ausreichend Zeit widmen. Bei der Prüfung, ob eine der in Satz 1 genannten Personen die erforderliche Sachkunde besitzt, berücksichtigt die Bundesanstalt den Umfang und die Komplexität der von dem Institut, der Institutsgruppe oder Finanzholding-Gruppe, der Finanzholding-Gesellschaft oder der gemischten Finanzholding-Gesellschaft betriebenen Geschäfte.</w:t>
      </w:r>
    </w:p>
    <w:p>
      <w:r>
        <w:t xml:space="preserve">(1a) Erfüllt eine Person die Voraussetzungen des Absatzes 1 Satz 1, des Absatzes 3 oder des Absatzes 3a nicht, so hat das Institut unverzüglich sicherzustellen, dass</w:t>
      </w:r>
    </w:p>
    <w:p>
      <w:pPr>
        <w:ind w:left="420"/>
      </w:pPr>
      <w:r>
        <w:t xml:space="preserve">1. sie nicht zum Mitglied des Verwaltungs- oder Aufsichtsorgans bestellt wird,</w:t>
      </w:r>
    </w:p>
    <w:p>
      <w:pPr>
        <w:ind w:left="420"/>
      </w:pPr>
      <w:r>
        <w:t xml:space="preserve">2. sie von ihrer Position als Mitglied des Verwaltungs- oder Aufsichtsorgans abberufen wird oder</w:t>
      </w:r>
    </w:p>
    <w:p>
      <w:pPr>
        <w:ind w:left="420"/>
      </w:pPr>
      <w:r>
        <w:t xml:space="preserve">3. Maßnahmen ergriffen werden, damit die Person die Voraussetzungen erfüllt.</w:t>
      </w:r>
    </w:p>
    <w:p>
      <w:r>
        <w:t xml:space="preserve">(1b) Beabsichtigt ein Unternehmen eine Person zu bestellen und liegen Tatsachen vor, aus denen sich ergibt, dass sie nicht die Voraussetzungen des Absatzes 1 Satz 1, des Absatzes 3 oder des Absatzes 3a erfüllt, oder fehlen bei der Anzeige nach § 24 über die Absicht der Bestellung wesentliche Informationen zur Beurteilung der Eignung, Zuverlässigkeit und zeitlichen Verfügbarkeit, kann die Bundesanstalt anordnen, dass die Person nicht bestellt wird.</w:t>
      </w:r>
    </w:p>
    <w:p>
      <w:r>
        <w:t xml:space="preserve">(2) Das Verwaltungs- oder Aufsichtsorgan muss in seiner Gesamtheit die Kenntnisse, Fähigkeiten und Erfahrungen haben, die zur Wahrnehmung der Kontrollfunktion sowie zur Beurteilung und Überwachung der Geschäftsleitung des Instituts oder der Institutsgruppe oder Finanzholding-Gruppe, der Finanzholding-Gesellschaft oder der gemischten Finanzholding-Gesellschaft notwendig sind. Die Vorschriften der Mitbestimmungsgesetze über die Wahl und Abberufung der Arbeitnehmervertreter im Verwaltungs- oder Aufsichtsorgan bleiben unberührt. Ebenso bleiben die Rechtsvorschriften über die Ernennung der Mitglieder des Verwaltungs- oder Aufsichtsorgans durch regionale oder lokale gewählte Gremien oder über Ernennungen in Fällen, in denen kein Organ des Instituts für die Auswahl und Bestellung des jeweiligen Mitglieds zuständig ist, unberührt. In den betreffenden Fällen des Satzes 3 trifft das Institut geeignete Schutzvorkehrungen, um die Eignung dieser Mitglieder zu gewährleisten. Die Eignung in der Gesamtheit nach Satz 1 muss gewährleistet sein. Das Recht zur Abberufung nach § 36 bleibt von Satz 2 und 3 unberührt.</w:t>
      </w:r>
    </w:p>
    <w:p>
      <w:r>
        <w:t xml:space="preserve">(3) Mitglied des Verwaltungs- oder Aufsichtsorgans eines CRR-Kreditinstituts, das bedeutend im Sinne des § 1 Absatz 3c ist, kann nicht sein,</w:t>
      </w:r>
    </w:p>
    <w:p>
      <w:pPr>
        <w:ind w:left="420"/>
      </w:pPr>
      <w:r>
        <w:t xml:space="preserve">1. wer in demselben Unternehmen Geschäftsleiter ist; im Fall einer Europäischen Gesellschaft (SE) mit monistischem System gilt dies mit der Maßgabe, dass ein geschäftsführender Direktor nicht zugleich Vorsitzender oder geschäftsführendes Mitglied des Verwaltungsrates sein kann;</w:t>
      </w:r>
    </w:p>
    <w:p>
      <w:pPr>
        <w:ind w:left="420"/>
      </w:pPr>
      <w:r>
        <w:t xml:space="preserve">2. wer in dem betreffenden Unternehmen Geschäftsleiter war, wenn bereits zwei ehemalige Geschäftsleiter des Unternehmens Mitglied des Verwaltungs- oder Aufsichtsorgans sind;</w:t>
      </w:r>
    </w:p>
    <w:p>
      <w:pPr>
        <w:ind w:left="420"/>
      </w:pPr>
      <w:r>
        <w:t xml:space="preserve">3. wer in einem Unternehmen Geschäftsleiter ist und zugleich in mehr als zwei Unternehmen Mitglied des Verwaltungs- oder Aufsichtsorgans ist oder</w:t>
      </w:r>
    </w:p>
    <w:p>
      <w:pPr>
        <w:ind w:left="420"/>
      </w:pPr>
      <w:r>
        <w:t xml:space="preserve">4. wer in mehr als vier Unternehmen Mitglied des Verwaltungs- oder Aufsichtsorgans ist.</w:t>
      </w:r>
    </w:p>
    <w:p>
      <w:r>
        <w:t xml:space="preserve">Satz 1 gilt jeweils auch für Mitglieder der Verwaltungs- oder Aufsichtsorgane einer nach § 2f zugelassenen Finanzholding-Gesellschaft oder gemischten Finanzholding-Gesellschaft, die ein bedeutendes Institut im Sinne des § 1 Absatz 3c in ihrer Gruppe haben. Dabei gelten im Sinne von Satz 1 Nummer 3 und 4 mehrere Mandate als ein Mandat, wenn die Mandate bei Unternehmen wahrgenommen werden,</w:t>
      </w:r>
    </w:p>
    <w:p>
      <w:pPr>
        <w:ind w:left="420"/>
      </w:pPr>
      <w:r>
        <w:t xml:space="preserve">1. die derselben Finanzholding-Gruppe oder gemischten Finanzholding-Gruppe angehören oder verbundene Unternehmen im Sinne des Handelsgesetzbuchs oder in vergleichbarer Weise in einer Gruppe verbunden sind,</w:t>
      </w:r>
    </w:p>
    <w:p>
      <w:pPr>
        <w:ind w:left="420"/>
      </w:pPr>
      <w:r>
        <w:t xml:space="preserve">2. die demselben institutsbezogenen Sicherungssystem angehören oder</w:t>
      </w:r>
    </w:p>
    <w:p>
      <w:pPr>
        <w:ind w:left="420"/>
      </w:pPr>
      <w:r>
        <w:t xml:space="preserve">3. an denen das Institut eine bedeutende Beteiligung hält.</w:t>
      </w:r>
    </w:p>
    <w:p>
      <w:r>
        <w:t xml:space="preserve">Mehrere Mandate gelten auch dann im Sinne von Satz 3 als ein Mandat, wenn sich darunter sowohl Mandate als Geschäftsleiter als auch Mandate als Mitglied des Verwaltungs- oder Aufsichtsorgans befinden. Sie zählen in diesem Fall zusammen als ein Geschäftsleitermandat. Mandate bei Organisationen und Unternehmen, die nicht überwiegend gewerbliche Ziele verfolgen, insbesondere Unternehmen, die der kommunalen Daseinsvorsorge dienen, werden bei den nach Satz 1 Nummer 3 und 4 höchstens zulässigen Mandaten nicht berücksichtigt. Die Aufsichtsbehörde kann einem Mitglied des Verwaltungs- oder Aufsichtsorgans unter Berücksichtigung der Umstände im Einzelfall und der Art, des Umfangs und der Komplexität der Tätigkeiten des Instituts, der Institutsgruppe oder Finanzholding-Gruppe, der Finanzholding-Gesellschaft oder der gemischten Finanzholding-Gesellschaft über die Anzahl der nach Satz 1 Nummern 3 und 4 höchstens zulässigen Mandate hinaus gestatten, ein zusätzliches Mandat in einem Verwaltungs- oder Aufsichtsorgan innezuhaben, wenn dies das Mitglied nicht daran hindert, der Wahrnehmung seiner Aufgaben in dem betreffenden Unternehmen ausreichend Zeit zu widmen. Das zusätzliche Mandat darf erst nach Erteilung der Gestattung durch die Aufsichtsbehörde angenommen werden. Mandate als Vertreter des Bundes oder der Länder werden bei den nach Satz 1 Nummer 3 und 4 höchstens zulässigen Mandaten nicht berücksichtigt. Satz 1 Nummer 4 gilt nicht für kommunale Hauptverwaltungsbeamte, die kraft kommunaler Satzung zur Wahrnehmung eines Mandats in einem kommunalen Unternehmen oder einem kommunalen Zweckverband verpflichtet sind.</w:t>
      </w:r>
    </w:p>
    <w:p>
      <w:r>
        <w:t xml:space="preserve">(3a) Mitglied des Verwaltungs- oder Aufsichtsorgans eines Instituts, das kein CRR-Kreditinstitut ist, das bedeutend im Sinne des § 1 Absatz 3c ist, oder einer Finanzholding-Gesellschaft kann nicht sein,</w:t>
      </w:r>
    </w:p>
    <w:p>
      <w:pPr>
        <w:ind w:left="420"/>
      </w:pPr>
      <w:r>
        <w:t xml:space="preserve">1. wer in demselben Unternehmen Geschäftsleiter ist; im Fall einer Europäischen Gesellschaft (SE) mit monistischem System gilt dies mit der Maßgabe, dass ein geschäftsführender Direktor nicht zugleich Vorsitzender oder geschäftsführendes Mitglied des Verwaltungsrates sein kann,</w:t>
      </w:r>
    </w:p>
    <w:p>
      <w:pPr>
        <w:ind w:left="420"/>
      </w:pPr>
      <w:r>
        <w:t xml:space="preserve">2. wer in dem betreffenden Unternehmen Geschäftsleiter war, wenn bereits zwei ehemalige Geschäftsleiter des Unternehmens Mitglied des Verwaltungs- oder Aufsichtsorgans sind, oder</w:t>
      </w:r>
    </w:p>
    <w:p>
      <w:pPr>
        <w:ind w:left="420"/>
      </w:pPr>
      <w:r>
        <w:t xml:space="preserve">3. wer in mehr als fünf Unternehmen, die unter der Aufsicht der Bundesanstalt stehen, Mitglied des Verwaltungs- oder Aufsichtsorgans ist, es sei denn, diese Unternehmen gehören demselben institutsbezogenen Sicherungssystem an.</w:t>
      </w:r>
    </w:p>
    <w:p>
      <w:r>
        <w:t xml:space="preserve">(4) Institute, Finanzholding-Gesellschaften und gemischte Finanzholding-Gesellschaften müssen angemessene personelle und finanzielle Ressourcen einsetzen, um den Mitgliedern des Verwaltungs- oder Aufsichtsorgans die Einführung in ihr Amt zu erleichtern und die Fortbildung zu ermöglichen, die zur Aufrechterhaltung der erforderlichen Sachkunde notwendig ist, auch in Bezug auf IKT-Risiken im Sinne des Artikels 4 Absatz 4 Nummer 52c der Verordnung (EU) Nr. 575/2013.</w:t>
      </w:r>
    </w:p>
    <w:p>
      <w:r>
        <w:t xml:space="preserve">(5) Die Ausgestaltung der Vergütungssysteme für Mitglieder des Verwaltungs- oder Aufsichtsorgans darf im Hinblick auf die wirksame Wahrnehmung der Überwachungsfunktion des Verwaltungs- oder Aufsichtsorgans keine Interessenkonflikte erzeugen. Die Vergütung ist geschlechtsneutral. Eine Entgeltbenachteiligung wegen des Geschlechts ist unzulässig. Für die Tätigkeit im Verwaltungs- oder Aufsichtsorgan dürfen dessen Mitglieder keine variablen Vergütungsbestandteile erhalten. Artikel 450 der Verordnung (EU) Nr. 575/2013 ist auch in Bezug auf die Vergütung der Mitglieder des Verwaltungs- oder Aufsichtsorgans anzuwenden.</w:t>
      </w:r>
    </w:p>
    <w:p>
      <w:r>
        <w:t xml:space="preserve">(6) Das Verwaltungs- oder Aufsichtsorgan muss die Geschäftsleiter auch im Hinblick auf die Einhaltung der einschlägigen bankaufsichtsrechtlichen Regelungen überwachen. Es muss der Erörterung von Strategien, Risiken und Vergütungssystemen für Geschäftsleiter und Mitarbeiter ausreichend Zeit widmen.</w:t>
      </w:r>
    </w:p>
    <w:p>
      <w:r>
        <w:t xml:space="preserve">(7) Das Verwaltungs- oder Aufsichtsorgan eines Instituts, einer Finanzholding-Gesellschaft oder einer gemischten Finanzholding-Gesellschaft soll abhängig von der Größe, der internen Organisation und der Art, des Umfangs, der Komplexität und dem Risikogehalt der Geschäfte des Unternehmens aus seiner Mitte, im Fall einer Europäischen Gesellschaft (SE) mit monistischem System aus dem Kreis der nicht geschäftsführenden Mitglieder des Verwaltungsrates, Ausschüsse gemäß den Absätzen 8 bis 12 bestellen, die es bei seinen Aufgaben beraten und unterstützen. Das Verwaltungs- oder Aufsichtsorgan eines bedeutenden Instituts im Sinne des § 1 Absatz 3c sowie eines in Absatz 3 Satz 2 genannten Unternehmens hat aus seiner Mitte, im Fall einer Europäischen Gesellschaft (SE) mit monistischem System aus dem Kreis der nicht geschäftsführenden Mitglieder des Verwaltungsrates, zwingend einen Risiko-, einen Prüfungs-, einen Nominierungs- und einen Vergütungskontrollausschuss zu bestellen. Jeder Ausschuss soll eines seiner Mitglieder zum Vorsitzenden ernennen. Die Mitglieder der Ausschüsse müssen die zur Erfüllung der jeweiligen Ausschussaufgaben erforderlichen Kenntnisse, Fähigkeiten und Erfahrungen haben. Um die Zusammenarbeit und den fachlichen Austausch zwischen den einzelnen Ausschüssen sicherzustellen, soll mindestens ein Mitglied eines jeden Ausschusses einem weiteren Ausschuss angehören. Die Bundesanstalt kann die Bildung eines oder mehrerer Ausschüsse verlangen, wenn dies insbesondere unter Berücksichtigung der Kriterien nach Satz 1 oder zur ordnungsgemäßen Wahrnehmung der Kontrollfunktion des Verwaltungs- oder Aufsichtsorgans erforderlich erscheint. Sofern von der Bestellung von Ausschüssen abgesehen wird, obliegen die Aufgaben, die in den Absätzen 8 bis 12 den Ausschüssen zugewiesen sind, dem Verwaltungs- oder Aufsichtsorgan. Sofern kein Verwaltungs- oder Aufsichtsorgan besteht, obliegen die Ausschussaufgaben den Anteilseignern, Eigentümern, Mitgliedern oder Trägern des Instituts.</w:t>
      </w:r>
    </w:p>
    <w:p>
      <w:r>
        <w:t xml:space="preserve">(8) Der Risikoausschuss berät das Verwaltungs- oder Aufsichtsorgan zur aktuellen und zur künftigen Gesamtrisikobereitschaft und -strategie des Unternehmens und unterstützt es bei der Überwachung der Umsetzung dieser Strategie durch die Mitarbeiter der unmittelbar der Geschäftsleitung nachgelagerten Führungsebene. Der Risikoausschuss wacht darüber, dass die Konditionen im Kundengeschäft mit dem Geschäftsmodell und der Risikostruktur des Unternehmens im Einklang stehen. Soweit dies nicht der Fall ist, verlangt der Risikoausschuss von der Geschäftsleitung Vorschläge, wie die Konditionen im Kundengeschäft in Übereinstimmung mit dem Geschäftsmodell und der Risikostruktur ausgestaltet werden können, und überwacht deren Umsetzung. Der Risikoausschuss prüft, ob die durch das Vergütungssystem gesetzten Anreize die Risiko-, Kapital- und Liquiditätsstruktur des Unternehmens sowie die Wahrscheinlichkeit und Fälligkeit von Einnahmen berücksichtigen. Die Aufgaben des Vergütungskontrollausschusses nach Absatz 12 bleiben unberührt. Der Vorsitzende des Risikoausschusses soll weder Vorsitzender des Verwaltungs- oder Aufsichtsorgans noch Vorsitzender eines anderen Ausschusses sein. Der Vorsitzende des Risikoausschusses oder, falls ein Risikoausschuss nicht eingerichtet wurde, der Vorsitzende des Verwaltungs- oder Aufsichtsorgans, kann unmittelbar beim Leiter der Internen Revision und beim Leiter des Risikocontrollings Auskünfte einholen. Die Geschäftsleitung muss hierüber grundsätzlich unterrichtet werden. Der Risikoausschuss kann, soweit erforderlich, den Rat externer Sachverständiger einholen. Der Risikoausschuss oder, falls ein solcher nicht eingerichtet wurde, das Verwaltungs- oder Aufsichtsorgan bestimmt Art, Umfang, Format und Häufigkeit der Informationen, die die Geschäftsleitung zum Thema Strategie und Risiko vorlegen muss.</w:t>
      </w:r>
    </w:p>
    <w:p>
      <w:r>
        <w:t xml:space="preserve">(9) Der Prüfungsausschuss unterstützt das Verwaltungs- oder Aufsichtsorgan insbesondere bei der Überwachung</w:t>
      </w:r>
    </w:p>
    <w:p>
      <w:pPr>
        <w:ind w:left="420"/>
      </w:pPr>
      <w:r>
        <w:t xml:space="preserve">1. des Rechnungslegungsprozesses;</w:t>
      </w:r>
    </w:p>
    <w:p>
      <w:pPr>
        <w:ind w:left="420"/>
      </w:pPr>
      <w:r>
        <w:t xml:space="preserve">2. der Wirksamkeit des Risikomanagementsystems, insbesondere des internen Kontrollsystems und der Internen Revision;</w:t>
      </w:r>
    </w:p>
    <w:p>
      <w:pPr>
        <w:ind w:left="420"/>
      </w:pPr>
      <w:r>
        <w:t xml:space="preserve">3. der Durchführung der Abschlussprüfungen, insbesondere hinsichtlich der Unabhängigkeit des Abschlussprüfers und der vom Abschlussprüfer erbrachten Leistungen (Umfang, Häufigkeit, Berichterstattung). Der Prüfungsausschuss soll dem Verwaltungs- oder Aufsichtsorgan Vorschläge für die Bestellung eines Abschlussprüfers sowie für die Höhe seiner Vergütung unterbreiten und das Verwaltungs- oder Aufsichtsorgan zur Kündigung oder Fortsetzung des Prüfauftrags beraten und</w:t>
      </w:r>
    </w:p>
    <w:p>
      <w:pPr>
        <w:ind w:left="420"/>
      </w:pPr>
      <w:r>
        <w:t xml:space="preserve">4. der zügigen Behebung der vom Prüfer festgestellten Mängel durch die Geschäftsleitung mittels geeigneter Maßnahmen.</w:t>
      </w:r>
    </w:p>
    <w:p>
      <w:r>
        <w:t xml:space="preserve">Der Vorsitzende des Prüfungsausschusses muss über Sachverstand auf den Gebieten Rechnungslegung und Abschlussprüfung verfügen. Der Vorsitzende des Prüfungsausschusses oder, falls ein Prüfungsausschuss nicht eingerichtet wurde, der Vorsitzende des Verwaltungs- oder Aufsichtsorgans, kann unmittelbar beim Leiter der Internen Revision und beim Leiter des Risikocontrollings Auskünfte einholen. Die Geschäftsleitung muss hierüber grundsätzlich unterrichtet werden.</w:t>
      </w:r>
    </w:p>
    <w:p>
      <w:r>
        <w:t xml:space="preserve">(10) Das Verwaltungs- oder Aufsichtsorgan eines in Absatz 3a Satz 1 genannten Unternehmens kann einen gemeinsamen Risiko- und Prüfungsausschuss bestellen, wenn dies unter Berücksichtigung der Kriterien nach Absatz 7 Satz 1 sinnvoll ist. Dies ist der Bundesanstalt mitzuteilen. Die Gründe für eine Zusammenlegung sind von dem Unternehmen zu dokumentieren. Auf den gemeinsamen Prüfungs- und Risikoausschuss finden die Absätze 8 und 9 entsprechende Anwendung.</w:t>
      </w:r>
    </w:p>
    <w:p>
      <w:r>
        <w:t xml:space="preserve">(11) Der Nominierungsausschuss unterstützt das Verwaltungs- oder Aufsichtsorgan bei der</w:t>
      </w:r>
    </w:p>
    <w:p>
      <w:pPr>
        <w:ind w:left="420"/>
      </w:pPr>
      <w:r>
        <w:t xml:space="preserve">1. Ermittlung von Bewerbern für die Besetzung einer Stelle in der Geschäftsleitung und bei der Vorbereitung von Wahlvorschlägen für die Wahl der Mitglieder des Verwaltungs- oder Aufsichtsorgans; hierbei berücksichtigt der Nominierungsausschuss die Ausgewogenheit und Unterschiedlichkeit der Kenntnisse, Fähigkeiten und Erfahrungen aller Mitglieder des betreffenden Organs sowie die Zielsetzung und die Strategie nach Nummer 2, entwirft eine Stellenbeschreibung mit Bewerberprofil und gibt den mit der Aufgabe verbundenen Zeitaufwand an;</w:t>
      </w:r>
    </w:p>
    <w:p>
      <w:pPr>
        <w:ind w:left="420"/>
      </w:pPr>
      <w:r>
        <w:t xml:space="preserve">2. Erarbeitung einer verhältnismäßigen Zielsetzung zur Förderung der Diversität einschließlich der Förderung eines ausgewogenen Geschlechterverhältnisses im Verwaltungs- oder Aufsichtsorgan und in der Geschäftsleitung sowie einer Strategie zu deren Erreichung;</w:t>
      </w:r>
    </w:p>
    <w:p>
      <w:pPr>
        <w:ind w:left="420"/>
      </w:pPr>
      <w:r>
        <w:t xml:space="preserve">3. regelmäßig, mindestens einmal jährlich, durchzuführenden Bewertung der Struktur, Größe, Zusammensetzung und Leistung der Geschäftsleitung und des Verwaltungs- oder Aufsichtsorgans und spricht dem Verwaltungs- oder Aufsichtsorgan gegenüber diesbezügliche Empfehlungen aus;</w:t>
      </w:r>
    </w:p>
    <w:p>
      <w:pPr>
        <w:ind w:left="420"/>
      </w:pPr>
      <w:r>
        <w:t xml:space="preserve">4. regelmäßig, mindestens einmal jährlich, durchzuführenden Bewertung der Kenntnisse, Fähigkeiten und Erfahrung sowohl der einzelnen Geschäftsleiter und Mitglieder des Verwaltungs- oder Aufsichtsorgans als auch des jeweiligen Organs in seiner Gesamtheit und</w:t>
      </w:r>
    </w:p>
    <w:p>
      <w:pPr>
        <w:ind w:left="420"/>
      </w:pPr>
      <w:r>
        <w:t xml:space="preserve">5. Überprüfung der Grundsätze der Geschäftsleitung für die Auswahl und Bestellung der Mitarbeiter der unmittelbar der Geschäftsleitung nachgelagerten Führungsebene einschließlich der Inhaber von Schlüsselfunktionen und bei diesbezüglichen Empfehlungen an die Geschäftsleitung.</w:t>
      </w:r>
    </w:p>
    <w:p>
      <w:r>
        <w:t xml:space="preserve">Bei der Erfüllung seiner Aufgaben nach Satz 1 Nummer 3 achtet der Nominierungsausschuss darauf, dass die Entscheidungsfindung innerhalb der Geschäftsleitung durch einzelne Personen oder Gruppen nicht in einer Weise beeinflusst wird, die dem Unternehmen schadet. Der Umstand, ein Organmitglied eines verbundenen Unternehmens oder einer verbundenen Organisation zu sein, stellt an sich kein Hindernis für das erforderliche unvoreingenommene Handeln der Mitglieder der Geschäftsleitung und des Verwaltungs- oder Aufsichtsorgans dar. Bei der Wahrnehmung seiner Aufgaben kann der Nominierungsausschuss auf alle Ressourcen zurückgreifen, die er für angemessen hält, und auch externe Berater einschalten. Zu diesem Zwecke soll er vom Unternehmen angemessene Finanzmittel erhalten.</w:t>
      </w:r>
    </w:p>
    <w:p>
      <w:r>
        <w:t xml:space="preserve">(12) Der Vergütungskontrollausschuss</w:t>
      </w:r>
    </w:p>
    <w:p>
      <w:pPr>
        <w:ind w:left="420"/>
      </w:pPr>
      <w:r>
        <w:t xml:space="preserve">1. überwacht die angemessene Ausgestaltung der Vergütungssysteme der Mitarbeiter und insbesondere solcher Mitarbeiter, die einen wesentlichen Einfluss auf das Gesamtrisikoprofil des Instituts haben;</w:t>
      </w:r>
    </w:p>
    <w:p>
      <w:pPr>
        <w:ind w:left="420"/>
      </w:pPr>
      <w:r>
        <w:t xml:space="preserve">2. überwacht unmittelbar die angemessene Ausgestaltung der Vergütungssysteme der Geschäftsleiter und der Leiter der internen Kontrollfunktionen und unterstützt das Verwaltungs- oder Aufsichtsorgan bei der Überwachung der angemessenen Ausgestaltung der Vergütungssysteme für die Mitarbeiter des Unternehmens; die Auswirkungen der Vergütungssysteme auf das Risiko-, Kapital- und Liquiditätsmanagement sind zu bewerten;</w:t>
      </w:r>
    </w:p>
    <w:p>
      <w:pPr>
        <w:ind w:left="420"/>
      </w:pPr>
      <w:r>
        <w:t xml:space="preserve">3. bereitet die Beschlüsse des Verwaltungs- oder Aufsichtsorgans über die Vergütung der Geschäftsleiter vor und berücksichtigt dabei besonders die Auswirkungen der Beschlüsse auf die Risiken und das Risikomanagement des Unternehmens; den langfristigen Interessen von Anteilseignern, Anlegern, sonstiger Beteiligter und dem öffentlichen Interesse ist Rechnung zu tragen;</w:t>
      </w:r>
    </w:p>
    <w:p>
      <w:pPr>
        <w:ind w:left="420"/>
      </w:pPr>
      <w:r>
        <w:t xml:space="preserve">4. unterstützt das Verwaltungs- oder Aufsichtsorgan bei der Überwachung der ordnungsgemäßen Einbeziehung der internen Kontroll- und aller sonstigen maßgeblichen Bereiche bei der Ausgestaltung der Vergütungssysteme.</w:t>
      </w:r>
    </w:p>
    <w:p>
      <w:r>
        <w:t xml:space="preserve">Das Verwaltungs- oder Aufsichtsorgan hat mindestens ein Mitglied in den Vergütungskontrollausschusses zu bestellen, das über ausreichend Sachverstand und Berufserfahrung im Bereich Risikomanagement und Risikocontrolling verfügt, insbesondere im Hinblick auf Mechanismen zur Ausrichtung der Vergütungssysteme an der Gesamtrisikobereitschaft und -strategie und an der Eigenmittelausstattung des Unternehmens. Wenn dem Verwaltungs- oder Aufsichtsorgan entsprechend den Mitbestimmungsgesetzen Arbeitnehmervertreter angehören, hat das Verwaltungs- oder Aufsichtsorgan in den Vergütungskontrollausschuss mindestens einen Arbeitnehmervertreter zu bestellen. Der Vergütungskontrollausschuss soll mit dem Risikoausschuss zusammenarbeiten und soll sich intern insbesondere durch die Risikocontrolling-Funktion und den Vergütungsbeauftragten sowie extern von Personen, die unabhängig von der Geschäftsleitung sind, beraten lassen. Geschäftsleiter dürfen nicht zu den Tagesordnungspunkten an Sitzungen des Vergütungskontrollausschusses teilnehmen, unter denen über ihre Vergütung beraten wird. Der Vorsitzende des Vergütungskontrollausschusses oder, falls ein Vergütungskontrollausschuss nicht eingerichtet wurde, der Vorsitzende des Verwaltungs- oder Aufsichtsorgans, kann unmittelbar beim Leiter der Internen Revision und bei den Leitern der für die Ausgestaltung der Vergütungssysteme zuständigen Organisationseinheiten Auskünfte einholen. Die Geschäftsleitung muss hierüber grundsätzlich unterrichtet werden.</w:t>
      </w:r>
    </w:p>
    <w:p>
      <w:r>
        <w:t xml:space="preserve">(13) (weggefallen)</w:t>
      </w:r>
    </w:p>
    <w:p>
      <w:r>
        <w:rPr>
          <w:color w:val="555555"/>
          <w:sz w:val="17"/>
        </w:rPr>
        <w:t xml:space="preserve">Zitiervorschlag: § 25d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