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KredWG — Finanzinformationen, Informationen zur Risikotragfähigkeit und zur Liquiditätssteuerung, Refinanzierungspläne; Verordnungsermächtigung</w:t>
      </w:r>
    </w:p>
    <w:p>
      <w:r>
        <w:rPr>
          <w:color w:val="555555"/>
          <w:sz w:val="18"/>
        </w:rPr>
        <w:t xml:space="preserve">Kreditwesengesetz</w:t>
      </w:r>
    </w:p>
    <w:p>
      <w:r>
        <w:rPr>
          <w:color w:val="555555"/>
          <w:sz w:val="18"/>
        </w:rPr>
        <w:t xml:space="preserve">Stand: 01.04.2026 (konsolidierte Textfassung, kein amtliches Inkrafttretensdatum)</w:t>
      </w:r>
    </w:p>
    <w:p>
      <w:r>
        <w:t xml:space="preserve">(1) Ein Institut hat unverzüglich nach Ablauf eines jeden Quartals der Deutschen Bundesbank Informationen zu seiner finanziellen Situation (Finanzinformationen) einzureichen. Ein Kreditinstitut hat außerdem unverzüglich einmal jährlich zu einem von der Bundesanstalt festgelegten Stichtag der Deutschen Bundesbank einzureichen:</w:t>
      </w:r>
    </w:p>
    <w:p>
      <w:pPr>
        <w:ind w:left="420"/>
      </w:pPr>
      <w:r>
        <w:t xml:space="preserve">1. Informationen zu seiner Risikotragfähigkeit nach § 25a Absatz 1 Satz 3 und zu den Verfahren nach § 25a Absatz 1 Satz 3 Nummer 2 (Risikotragfähigkeitsinformationen),</w:t>
      </w:r>
    </w:p>
    <w:p>
      <w:pPr>
        <w:ind w:left="420"/>
      </w:pPr>
      <w:r>
        <w:t xml:space="preserve">2. Informationen zur Liquiditätssteuerung und</w:t>
      </w:r>
    </w:p>
    <w:p>
      <w:pPr>
        <w:ind w:left="420"/>
      </w:pPr>
      <w:r>
        <w:t xml:space="preserve">3. Refinanzierungspläne.</w:t>
      </w:r>
    </w:p>
    <w:p>
      <w:r>
        <w:t xml:space="preserve">Die Bundesanstalt bestimmt den Kreis der nach Satz 2 Nummer 3 einreichungspflichtigen Institute jährlich im Einklang mit Artikel 16 der Verordnung (EU) Nr. 1093/2010 auf der Grundlage der diesbezüglichen Leitlinien der Europäischen Bankenaufsichtsbehörde. Die Bundesanstalt kann den Berichtszeitraum nach den Sätzen 1 und 2 für ein Institut verkürzen, soweit dies zur Erfüllung der Aufgaben der Bundesanstalt erforderlich ist. Die Deutsche Bundesbank leitet die Angaben nach den Sätzen 1 und 2 an die Bundesanstalt mit ihrer Stellungnahme weiter; diese kann auf die Weiterleitung bestimmter Angaben nach den Sätzen 1 und 2 verzichten.</w:t>
      </w:r>
    </w:p>
    <w:p>
      <w:r>
        <w:t xml:space="preserve">(2) Ein übergeordnetes Unternehmen im Sinne des § 10a hat außerdem unverzüglich nach Ablauf eines jeden Quartals der Deutschen Bundesbank Finanzinformationen auf zusammengefasster Basis einzureichen. Ein übergeordnetes Unternehmen im Sinne des § 10a hat, sofern der Gruppe im Sinne des § 10a Absatz 1 ein Kreditinstitut mit Sitz im Inland angehört, außerdem unverzüglich einmal jährlich zu einem von der Bundesanstalt festgelegten Stichtag der Deutschen Bundesbank gemäß Absatz 1 Satz 2 Nummer 1 die Informationen zur Risikotragfähigkeit der Gruppe auf zusammengefasster Ebene einzureichen. Die Bundesanstalt kann den Berichtszeitraum nach den Sätzen 1 und 2 für ein übergeordnetes Unternehmen verkürzen, soweit dies zur Erfüllung der Aufgaben der Bundesanstalt erforderlich ist. Absatz 1 Satz 4 und § 10a Absatz 4 und 5 über das Verfahren der Zusammenfassung, § 10a Absatz 9 über die Unterkonsolidierung von Tochtergesellschaften in Drittstaaten und Artikel 11 Absatz 1 der Verordnung (EU) Nr. 575/2013 über die Informationspflicht gelten für die Angaben nach den Sätzen 1 und 2 entsprechend. Für die Angaben nach Satz 2 gilt zudem § 25a Absatz 3 entsprechend.</w:t>
      </w:r>
    </w:p>
    <w:p>
      <w:r>
        <w:t xml:space="preserve">(3) Das Bundesministerium der Finanzen kann im Benehmen mit der Deutschen Bundesbank durch Rechtsverordnung, die nicht der Zustimmung des Bundesrates bedarf, nähere Bestimmungen treffen über</w:t>
      </w:r>
    </w:p>
    <w:p>
      <w:pPr>
        <w:ind w:left="420"/>
      </w:pPr>
      <w:r>
        <w:t xml:space="preserve">1. Art und Umfang der Finanzinformationen, der in Absatz 1 Satz 2 Nummer 1 und 2 genannten Informationen sowie der Refinanzierungspläne nach Absatz 1 Satz 2 Nummer 3, insbesondere, um Einblick in die Entwicklung der Vermögens- und Ertragslage der Institute sowie die Entwicklung der Risikolage und die Verfahren der Risikosteuerung der Kreditinstitute einschließlich Liquiditätssteuerung und Refinanzierungsplanung zu erhalten, sowie über die zulässigen Datenträger, Übertragungswege und Datenformate für die Übermittlung,</w:t>
      </w:r>
    </w:p>
    <w:p>
      <w:pPr>
        <w:ind w:left="420"/>
      </w:pPr>
      <w:r>
        <w:t xml:space="preserve">2. die Bekanntmachung der nach Absatz 1 Satz 2 Nummer 3 einreichungspflichtigen Kreditinstitute und</w:t>
      </w:r>
    </w:p>
    <w:p>
      <w:pPr>
        <w:ind w:left="420"/>
      </w:pPr>
      <w:r>
        <w:t xml:space="preserve">3. eine Verkürzung des Berichtszeitraums nach Absatz 1 Satz 4 oder Absatz 2 Satz 3 für bestimmte Arten oder Gruppen von Instituten, soweit dies zur Erfüllung der Aufgaben der Bundesanstalt erforderlich ist.</w:t>
      </w:r>
    </w:p>
    <w:p>
      <w:r>
        <w:t xml:space="preserve">Die Angaben können sich auch auf nachgeordnete Unternehmen im Sinne des § 10a sowie auf Tochterunternehmen mit Sitz im Inland oder Ausland, die nicht in die Beaufsichtigung auf zusammengefasster Basis einbezogen sind, sowie auf gemischte Holdinggesellschaften mit nachgeordneten Instituten beziehen; die gemischten Holdinggesellschaften haben den Instituten die erforderlichen Angaben zu übermitteln. Das Bundesministerium der Finanzen kann die Ermächtigung zum Erlass einer Rechtsverordnung durch Rechtsverordnung auf die Bundesanstalt mit der Maßgabe übertragen, dass die Rechtsverordnung im Einvernehmen mit der Deutschen Bundesbank ergeht.</w:t>
      </w:r>
    </w:p>
    <w:p>
      <w:r>
        <w:rPr>
          <w:color w:val="555555"/>
          <w:sz w:val="17"/>
        </w:rPr>
        <w:t xml:space="preserve">Zitiervorschlag: § 25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