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22o KredWG — Bestellung des Sachwalters bei Insolvenzgefahr</w:t>
      </w:r>
    </w:p>
    <w:p>
      <w:r>
        <w:rPr>
          <w:color w:val="555555"/>
          <w:sz w:val="18"/>
        </w:rPr>
        <w:t xml:space="preserve">Kreditwesengesetz</w:t>
      </w:r>
    </w:p>
    <w:p>
      <w:r>
        <w:rPr>
          <w:color w:val="555555"/>
          <w:sz w:val="18"/>
        </w:rPr>
        <w:t xml:space="preserve">Stand: 01.04.2026 (konsolidierte Textfassung, kein amtliches Inkrafttretensdatum)</w:t>
      </w:r>
    </w:p>
    <w:p>
      <w:r>
        <w:t xml:space="preserve">(1) Unter den Voraussetzungen des § 46 bestellt das Gericht auf Antrag der Bundesanstalt eine oder zwei Personen als Sachwalter. Die Bundesanstalt stellt einen Antrag nach Satz 1, wenn dies zur ordnungsgemäßen Verwaltung der im Refinanzierungsregister eingetragenen Gegenstände erforderlich erscheint. Für alle die Ernennung und Rechtsstellung des Sachwalters betreffenden gerichtlichen Entscheidungen richtet sich die Zuständigkeit nach den §§ 2 und 3 der Insolvenzordnung. Die Entscheidungen ergehen durch Beschluss. Für das Verfahren gelten die §§ 4, 5 Absatz 1 und 3 und § 6 Absatz 1 Satz 2 und Absatz 2 und 3 der Insolvenzordnung entsprechend. Gegen Entscheidungen des Gerichts steht der Bundesanstalt, dem Sachwalter sowie dem Refinanzierungsunternehmen die sofortige Beschwerde zu.</w:t>
      </w:r>
    </w:p>
    <w:p>
      <w:r>
        <w:t xml:space="preserve">(2) Für die Bestellung und Abberufung sowie für die Rechtsstellung eines unter diesen Umständen bestellten Sachwalters gelten die Vorschriften der §§ 22l bis 22n. Ein wichtiger Grund im Sinne des § 22l Abs. 2 Satz 3 liegt insbesondere dann vor, wenn die Voraussetzungen des § 46 wieder entfallen sind. In diesem Fall soll die Bundesanstalt aus dem Kreis der Sachwalter oder, im Fall des § 22l Absatz 2 Satz 2 erster Fall, anderer geeigneter Personen den Verwalter bestellen.</w:t>
      </w:r>
    </w:p>
    <w:p>
      <w:r>
        <w:t xml:space="preserve">(3) Wird das Insolvenzverfahren über das Vermögen des Refinanzierungsunternehmens nach Bestellung des Sachwalters nach Maßgabe der Absätze 1 und 2 eröffnet, so gilt der Sachwalter für die Zeit nach Eröffnung des Insolvenzverfahrens als mit Eröffnung des Insolvenzverfahrens vom Insolvenzgericht bestellt.</w:t>
      </w:r>
    </w:p>
    <w:p>
      <w:r>
        <w:rPr>
          <w:color w:val="555555"/>
          <w:sz w:val="17"/>
        </w:rPr>
        <w:t xml:space="preserve">Zitiervorschlag: § 22o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