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22n KredWG — Aufgaben und Rechtsstellung des Sachwalters</w:t>
      </w:r>
    </w:p>
    <w:p>
      <w:r>
        <w:rPr>
          <w:color w:val="555555"/>
          <w:sz w:val="18"/>
        </w:rPr>
        <w:t xml:space="preserve">Kreditwesengesetz</w:t>
      </w:r>
    </w:p>
    <w:p>
      <w:r>
        <w:rPr>
          <w:color w:val="555555"/>
          <w:sz w:val="18"/>
        </w:rPr>
        <w:t xml:space="preserve">Stand: 01.04.2026 (konsolidierte Textfassung, kein amtliches Inkrafttretensdatum)</w:t>
      </w:r>
    </w:p>
    <w:p>
      <w:r>
        <w:t xml:space="preserve">(1) Aufgabe des Sachwalters ist die Vornahme der zum Vollzug der Übertragung der in das Register eingetragenen Vermögensgegenstände des Refinanzierungsunternehmens, auf deren Übertragung ein Übertragungsberechtigter einen Anspruch hat, auf den jeweiligen Übertragungsberechtigten erforderlichen Rechtshandlungen. Bis zu einem solchen Vollzug hat er die eingetragenen Gegenstände zu verwalten, zugehörige Forderungen einzuziehen und Erlöse der eingetragenen Gegenstände entsprechend den bestehenden Vereinbarungen an den Übertragungsberechtigten auszukehren.</w:t>
      </w:r>
    </w:p>
    <w:p>
      <w:r>
        <w:t xml:space="preserve">(1a) Der Sachwalter steht unter der Aufsicht des Insolvenzgerichts. Das Insolvenzgericht kann vom Sachwalter insbesondere jederzeit einzelne Auskünfte oder einen Bericht über den Sachstand und die Geschäftsführung verlangen. Daneben obliegen dem Sachwalter eines registerführenden Unternehmens die Pflichten eines Verwalters. Der Sachwalter und der Insolvenzverwalter haben einander alle Informationen mitzuteilen, die für das Insolvenzverfahren über das Vermögen des Refinanzierungsunternehmens und für die Verwaltung der im Refinanzierungsregister eingetragenen Gegenstände von Bedeutung sein können.</w:t>
      </w:r>
    </w:p>
    <w:p>
      <w:r>
        <w:t xml:space="preserve">(2) Die Befugnis des Refinanzierungsunternehmens, die im Refinanzierungsregister eingetragenen Gegenstände zu verwalten und über sie zu verfügen, geht auf den bei ihm bestellten Sachwalter über; § 30 Absatz 3 Satz 1 des Pfandbriefgesetzes bleibt unberührt. In Abstimmung mit dem Insolvenzverwalter nutzt der Sachwalter alle Einrichtungen des Refinanzierungsunternehmens, die zur Verwaltung der eingetragenen Gegenstände erforderlich sind. Für die Verwaltung der eingetragenen Gegenstände vertritt der Sachwalter das Refinanzierungsunternehmen gerichtlich und außergerichtlich. § 30 Absatz 2 Satz 7 in Verbindung mit Absatz 3 Satz 1 des Pfandbriefgesetzes bleibt unberührt.</w:t>
      </w:r>
    </w:p>
    <w:p>
      <w:r>
        <w:t xml:space="preserve">(3) Hat das Refinanzierungsunternehmen nach der Bestellung des Sachwalters über einen im Refinanzierungsregister eingetragenen Gegenstand verfügt, so ist diese Verfügung unwirksam. Die Vorschriften der §§ 892, 893 des Bürgerlichen Gesetzbuchs, der §§ 16, 17 des Gesetzes über Rechte an eingetragenen Schiffen und Schiffsbauwerken und der §§ 16, 17 des Gesetzes über Rechte an Luftfahrzeugen bleiben unberührt. Hat das Refinanzierungsunternehmen am Tag der Bestellung des Sachwalters verfügt, so wird vermutet, dass es nach der Bestellung verfügt hat.</w:t>
      </w:r>
    </w:p>
    <w:p>
      <w:r>
        <w:t xml:space="preserve">(4) Der Sachwalter des Refinanzierungsregisters hat bei seiner Geschäftsführung die Sorgfalt eines ordentlichen und gewissenhaften Sachwalters anzuwenden. Verletzt der Sachwalter des Refinanzierungsregisters seine Pflichten, so können die Übertragungsberechtigten und das Refinanzierungsunternehmen Ersatz des hierdurch entstehenden Schadens verlangen. Dies gilt nicht, wenn der Sachwalter des Refinanzierungsregisters die Pflichtverletzung nicht zu vertreten hat.</w:t>
      </w:r>
    </w:p>
    <w:p>
      <w:r>
        <w:t xml:space="preserve">(5) Der bei einem Kreditinstitut bestellte Sachwalter des Refinanzierungsregisters erhält von der Bundesanstalt eine angemessene Vergütung und Ersatz seiner Aufwendungen. Die gezahlten Beträge sind der Bundesanstalt von den Übertragungsberechtigten noch nicht abgewickelter Refinanzierungstransaktionen anteilig nach dem Wert der für sie eingetragenen Gegenstände gesondert zu erstatten und auf Verlangen der Bundesanstalt vorzuschießen. Soweit das Refinanzierungsregister für Dritte geführt wird, sind diese neben den Übertragungsberechtigten als Gesamtschuldner zur Erstattung und zum Vorschuss verpflichtet. § 22i Absatz 3 gilt sinngemäß.</w:t>
      </w:r>
    </w:p>
    <w:p>
      <w:r>
        <w:rPr>
          <w:color w:val="555555"/>
          <w:sz w:val="17"/>
        </w:rPr>
        <w:t xml:space="preserve">Zitiervorschlag: § 22n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