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22l KredWG — Bestellung des Sachwalters bei Eröffnung des Insolvenzverfahrens</w:t>
      </w:r>
    </w:p>
    <w:p>
      <w:r>
        <w:rPr>
          <w:color w:val="555555"/>
          <w:sz w:val="18"/>
        </w:rPr>
        <w:t xml:space="preserve">Kreditwesengesetz</w:t>
      </w:r>
    </w:p>
    <w:p>
      <w:r>
        <w:rPr>
          <w:color w:val="555555"/>
          <w:sz w:val="18"/>
        </w:rPr>
        <w:t xml:space="preserve">Stand: 01.04.2026 (konsolidierte Textfassung, kein amtliches Inkrafttretensdatum)</w:t>
      </w:r>
    </w:p>
    <w:p>
      <w:r>
        <w:t xml:space="preserve">(1) Ist über das Vermögen eines Unternehmens, das keine in § 2 Absatz 1 Nummer 1, 2 oder 3a genannte Einrichtung ist und ein Refinanzierungsregister nicht nur für Dritte führt, das Insolvenzverfahren eröffnet, bestellt das Insolvenzgericht auf Antrag der Bundesanstalt eine oder zwei von der Bundesanstalt vorgeschlagene natürliche Personen als Sachwalter des Refinanzierungsregisters (Sachwalter). Wird das Insolvenzverfahren über das Vermögen eines Refinanzierungsunternehmens eröffnet, das ein Kreditinstitut ist und für das ein Refinanzierungsregister durch Dritte geführt wird, gilt Satz 1 mit der Maßgabe entsprechend, dass der Sachwalter auf Antrag der Bundesanstalt bei dem Refinanzierungsunternehmen zu bestellen ist. Das Gericht kann vom Vorschlag der Bundesanstalt abweichen, wenn dies zur Sicherstellung einer sachgerechten Zusammenarbeit zwischen Insolvenzverwalter und Sachwalter erforderlich erscheint. Der Sachwalter erhält eine Urkunde über seine Ernennung, die er bei Beendigung seines Amtes dem Insolvenzgericht zurückzugeben hat.</w:t>
      </w:r>
    </w:p>
    <w:p>
      <w:r>
        <w:t xml:space="preserve">(2) Die Bundesanstalt stellt einen Antrag nach Absatz 1 Satz 1, auch in Verbindung mit Absatz 1 Satz 2, wenn dies zur ordnungsgemäßen Verwaltung der im Refinanzierungsregister eingetragenen Gegenstände erforderlich erscheint. Ist das registerführende Unternehmen eine Pfandbriefbank, die das Refinanzierungsregister nicht nur für Dritte führt, so soll die Bundesanstalt als Sachwalter des Refinanzierungsregisters eine der dem Insolvenzgericht nach § 31 Absatz 2 Satz 1 des Pfandbriefgesetzes bezeichneten Personen, anderenfalls den Verwalter des Refinanzierungsregisters vorschlagen, bei Fehlen oder dauernder Verhinderung desselben seinen Stellvertreter oder eine andere geeignete natürliche Person. Der Sachwalter des Refinanzierungsregisters ist auf Antrag der Bundesanstalt abzuberufen, wenn ein wichtiger Grund vorliegt. Auf jederzeit möglichen einheitlichen Antrag sämtlicher Übertragungsberechtigten noch nicht abgewickelter Refinanzierungstransaktionen ist der Sachwalter zu ersetzen oder das Sachwalterverfahren aufzuheben.</w:t>
      </w:r>
    </w:p>
    <w:p>
      <w:r>
        <w:t xml:space="preserve">(3) Erscheint die Bestellung eines zweiten Sachwalters des Refinanzierungsregisters zur ordnungsgemäßen Verwaltung der im Refinanzierungsregister eingetragenen Gegenstände erforderlich, kann die Bundesanstalt nach Anhörung der Übertragungsberechtigten einen weiteren Antrag nach Absatz 1 Satz 1, auch in Verbindung mit Absatz 1 Satz 2, stellen. Stellt die Bundesanstalt diesen Antrag, soll sie bei einer das Refinanzierungsregister nicht nur für Dritte führenden Pfandbriefbank den Verwalter, anderenfalls einen der Stellvertreter des Verwalters des Refinanzierungsregisters oder, wenn ein solcher fehlt, eine andere geeignete natürliche Person vorschlagen.</w:t>
      </w:r>
    </w:p>
    <w:p>
      <w:r>
        <w:t xml:space="preserve">(4) Mit der Bestellung einer anderen Person als der des Verwalters zum Sachwalter erlischt das Amt des Verwalters. Das Amt wird von dem bei dem registerführenden Unternehmen bestellten Sachwalter des Refinanzierungsregisters fortgeführt. Die Sätze 1 und 2 gelten entsprechend für die Stellvertreter des Verwalters.</w:t>
      </w:r>
    </w:p>
    <w:p>
      <w:r>
        <w:rPr>
          <w:color w:val="555555"/>
          <w:sz w:val="17"/>
        </w:rPr>
        <w:t xml:space="preserve">Zitiervorschlag: § 22l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https://recht.nulegal.eu/gesetze/KredWG/22l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