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22i KredWG — Vergütung des Verwalters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Verwalter sowie sein Stellvertreter erhalten von dem registerführenden Unternehmen eine angemessene Vergütung, deren Höhe von der Bundesanstalt festgesetzt wird, und Ersatz der notwendigen Auslagen.</w:t>
      </w:r>
    </w:p>
    <w:p>
      <w:r>
        <w:t xml:space="preserve">(2) (weggefallen)</w:t>
      </w:r>
    </w:p>
    <w:p>
      <w:r>
        <w:t xml:space="preserve">(3) Außer in Fällen des Absatzes 1 sind Leistungen des registerführenden Unternehmens, des Refinanzierungsunternehmens, für welches das Register geführt wird, und der Übertragungsberechtigten an den Verwalter des Refinanzierungsregisters und dessen Stellvertreter unzulässig.</w:t>
      </w:r>
    </w:p>
    <w:p>
      <w:r>
        <w:rPr>
          <w:color w:val="555555"/>
          <w:sz w:val="17"/>
        </w:rPr>
        <w:t xml:space="preserve">Zitiervorschlag: § 22i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https://recht.nulegal.eu/gesetze/KredWG/22i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