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22h KredWG — Verhältnis des Verwalters zum registerführenden Unternehmen und zum Refinanzierungsunternehmen</w:t>
      </w:r>
    </w:p>
    <w:p>
      <w:r>
        <w:rPr>
          <w:color w:val="555555"/>
          <w:sz w:val="18"/>
        </w:rPr>
        <w:t xml:space="preserve">Kreditwesengesetz</w:t>
      </w:r>
    </w:p>
    <w:p>
      <w:r>
        <w:rPr>
          <w:color w:val="555555"/>
          <w:sz w:val="18"/>
        </w:rPr>
        <w:t xml:space="preserve">Stand: 10.06.2019 (konsolidierte Textfassung, kein amtliches Inkrafttretensdatum)</w:t>
      </w:r>
    </w:p>
    <w:p>
      <w:r>
        <w:t xml:space="preserve">(1) Der Verwalter ist befugt, jederzeit die Bücher und Papiere des registerführenden Unternehmens einzusehen, es sei denn, dass sie mit der Führung des Refinanzierungsregisters in keinem Zusammenhang stehen. In den Fällen des § 22b stehen dem Verwalter dieselben Befugnisse auch gegenüber dem Refinanzierungsunternehmen zu.</w:t>
      </w:r>
    </w:p>
    <w:p>
      <w:r>
        <w:t xml:space="preserve">(2) Der Verwalter ist zur Verschwiegenheit über alle Tatsachen verpflichtet, von denen er durch Einsicht in die Bücher und Papiere des registerführenden Unternehmens oder des davon abweichenden Refinanzierungsunternehmens Kenntnis erlangt. Der Bundesanstalt darf er nur über Tatsachen Auskunft geben oder Mitteilung machen, die mit der Überwachung des Refinanzierungsregisters im Zusammenhang stehen.</w:t>
      </w:r>
    </w:p>
    <w:p>
      <w:r>
        <w:t xml:space="preserve">(3) Streitigkeiten zwischen dem Verwalter und dem registerführenden Unternehmen oder dem davon abweichenden Refinanzierungsunternehmen entscheidet die Bundesanstalt.</w:t>
      </w:r>
    </w:p>
    <w:p>
      <w:r>
        <w:rPr>
          <w:color w:val="555555"/>
          <w:sz w:val="17"/>
        </w:rPr>
        <w:t xml:space="preserve">Zitiervorschlag: § 22h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https://recht.nulegal.eu/gesetze/KredWG/22h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