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22d KredWG — Refinanzierungsregister; Verordnungsermächtigung</w:t>
      </w:r>
    </w:p>
    <w:p>
      <w:r>
        <w:rPr>
          <w:color w:val="555555"/>
          <w:sz w:val="18"/>
        </w:rPr>
        <w:t xml:space="preserve">Kreditwesengesetz</w:t>
      </w:r>
    </w:p>
    <w:p>
      <w:r>
        <w:rPr>
          <w:color w:val="555555"/>
          <w:sz w:val="18"/>
        </w:rPr>
        <w:t xml:space="preserve">Stand: 01.04.2026 (konsolidierte Textfassung, kein amtliches Inkrafttretensdatum)</w:t>
      </w:r>
    </w:p>
    <w:p>
      <w:r>
        <w:t xml:space="preserve">(1) Eine elektronische Führung des Refinanzierungsregisters ist zulässig, sofern sichergestellt ist, dass hinreichende Vorkehrungen gegen einen Datenverlust getroffen worden sind. Das Bundesministerium der Finanzen hat durch Rechtsverordnung, die nicht der Zustimmung des Bundesrates bedarf, Einzelheiten über die Form des Refinanzierungsregisters sowie der Art und Weise der Aufzeichnung zu bestimmen. Das Bundesministerium der Finanzen kann diese Ermächtigung durch Rechtsverordnung auf die Bundesanstalt für Finanzdienstleistungsaufsicht übertragen.</w:t>
      </w:r>
    </w:p>
    <w:p>
      <w:r>
        <w:t xml:space="preserve">(2) In das Refinanzierungsregister sind von dem registerführenden Unternehmen einzutragen:</w:t>
      </w:r>
    </w:p>
    <w:p>
      <w:pPr>
        <w:ind w:left="420"/>
      </w:pPr>
      <w:r>
        <w:t xml:space="preserve">1. die Forderungen oder die Sicherheiten, auf deren Übertragung die im Register als übertragungsberechtigt eingetragenen Unternehmen im Sinne des § 1 Absatz 24 Satz 1 Nummer 1 bis 6 (Übertragungsberechtigte) einen Anspruch haben,</w:t>
      </w:r>
    </w:p>
    <w:p>
      <w:pPr>
        <w:ind w:left="420"/>
      </w:pPr>
      <w:r>
        <w:t xml:space="preserve">2. der Übertragungsberechtigte,</w:t>
      </w:r>
    </w:p>
    <w:p>
      <w:pPr>
        <w:ind w:left="420"/>
      </w:pPr>
      <w:r>
        <w:t xml:space="preserve">3. der Zeitpunkt der Eintragung,</w:t>
      </w:r>
    </w:p>
    <w:p>
      <w:pPr>
        <w:ind w:left="420"/>
      </w:pPr>
      <w:r>
        <w:t xml:space="preserve">4. falls ein Gegenstand als Sicherheit dient, den rechtlichen Grund, den Umfang, den Rang der Sicherheit und das Datum des Tages, an dem der den rechtlichen Grund für die Absicherung enthaltende Vertrag geschlossen wurde.</w:t>
      </w:r>
    </w:p>
    <w:p>
      <w:r>
        <w:t xml:space="preserve">Im Fall des Satzes 1 Nummer 1 und 4 genügt es, wenn Dritten, insbesondere dem Verwalter, dem Sachwalter, der Bundesanstalt oder einem Insolvenzverwalter die eindeutige Bestimmung der einzutragenden Angaben möglich ist. Ist der Übertragungsberechtigte eine Pfandbriefbank oder ein Versicherungsunternehmen, so ist dieser sowie der gemäß § 7 Absatz 1 des Pfandbriefgesetzes oder § 128 des Versicherungsaufsichtsgesetzes bestellte Treuhänder durch Übermittlung eines bestätigten Auszugs nach Absatz 6 von der Eintragung zu unterrichten.</w:t>
      </w:r>
    </w:p>
    <w:p>
      <w:r>
        <w:t xml:space="preserve">(3) Soweit nach Absatz 2 erforderliche Angaben fehlen oder Eintragungen unrichtig sind oder keine eindeutige Bestimmung einzutragender Angaben zulassen, sind die betroffenen Gegenstände nicht ordnungsgemäß eingetragen.</w:t>
      </w:r>
    </w:p>
    <w:p>
      <w:r>
        <w:t xml:space="preserve">(4) Forderungen sind auch dann eintragungsfähig und nach Eintragung an den Übertragungsberechtigten veräußerbar, wenn die Abtretung durch mündliche oder konkludente Vereinbarung mit dem Schuldner ausgeschlossen worden ist. § 354a des Handelsgesetzbuchs sowie gesetzliche Verfügungsverbote bleiben unberührt.</w:t>
      </w:r>
    </w:p>
    <w:p>
      <w:r>
        <w:t xml:space="preserve">(5) Eintragungen können nur mit Zustimmung des Übertragungsberechtigten gelöscht werden. Sofern ein Übertragungsberechtigter eine Pfandbriefbank oder ein Versicherungsunternehmen ist, können Eintragungen nur mit Zustimmung des Treuhänders der Pfandbriefbank beziehungsweise des Treuhänders des Versicherungsunternehmens gelöscht werden. In jedem Fall ist der Zeitpunkt der Löschung einzutragen. Fehlerhafte Eintragungen können mit Zustimmung des Verwalters gelöscht werden; Absatz 2 Satz 3 und 4 gilt entsprechend. Die Korrektur, ihr Zeitpunkt und die Zustimmung des Verwalters sind im Refinanzierungsregister einzutragen. Die nochmalige Eintragung ohne Löschung der früheren Eintragung entfaltet keine Rechtswirkung.</w:t>
      </w:r>
    </w:p>
    <w:p>
      <w:r>
        <w:t xml:space="preserve">(6) Der Übertragungsberechtigte kann jederzeit vom Verwalter einen Auszug über die ihn betreffenden Eintragungen im Refinanzierungsregister verlangen, auf dem der Verwalter die Übereinstimmung mit dem Refinanzierungsregister in Schriftform bestätigt hat.</w:t>
      </w:r>
    </w:p>
    <w:p>
      <w:r>
        <w:t xml:space="preserve">(7) Registerführende Unternehmen haben der Bundesanstalt jährlich zum Stand Ende eines Kalenderjahres mitzuteilen:</w:t>
      </w:r>
    </w:p>
    <w:p>
      <w:pPr>
        <w:ind w:left="420"/>
      </w:pPr>
      <w:r>
        <w:t xml:space="preserve">1. die jeweils dem Verwalter und den Stellvertretern im abgelaufenen Kalenderjahr gezahlte Vergütung nebst etwaigem Umsatzsteueranteil und Auslagenersatz,</w:t>
      </w:r>
    </w:p>
    <w:p>
      <w:pPr>
        <w:ind w:left="420"/>
      </w:pPr>
      <w:r>
        <w:t xml:space="preserve">2. für welche dritten Refinanzierungsunternehmen, die Kreditinstitute sind, noch nicht abgewickelte Refinanzierungstransaktionen in das Refinanzierungsregister eingetragen sind,</w:t>
      </w:r>
    </w:p>
    <w:p>
      <w:pPr>
        <w:ind w:left="420"/>
      </w:pPr>
      <w:r>
        <w:t xml:space="preserve">3. in welcher Form das Refinanzierungsregister seit welchem Zeitpunkt geführt wird sowie</w:t>
      </w:r>
    </w:p>
    <w:p>
      <w:pPr>
        <w:ind w:left="420"/>
      </w:pPr>
      <w:r>
        <w:t xml:space="preserve">4. ob das registerführende Unternehmen generell bereit ist, die Registerführung in den Fällen des § 22k Absatz 2 auch für Dritte zu übernehmen.</w:t>
      </w:r>
    </w:p>
    <w:p>
      <w:r>
        <w:rPr>
          <w:color w:val="555555"/>
          <w:sz w:val="17"/>
        </w:rPr>
        <w:t xml:space="preserve">Zitiervorschlag: § 22d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