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22b KredWG — Führung des Refinanzierungsregisters für Dritte</w:t>
      </w:r>
    </w:p>
    <w:p>
      <w:r>
        <w:rPr>
          <w:color w:val="555555"/>
          <w:sz w:val="18"/>
        </w:rPr>
        <w:t xml:space="preserve">Kreditwesengesetz</w:t>
      </w:r>
    </w:p>
    <w:p>
      <w:r>
        <w:rPr>
          <w:color w:val="555555"/>
          <w:sz w:val="18"/>
        </w:rPr>
        <w:t xml:space="preserve">Stand: 01.04.2026 (konsolidierte Textfassung, kein amtliches Inkrafttretensdatum)</w:t>
      </w:r>
    </w:p>
    <w:p>
      <w:r>
        <w:t xml:space="preserve">(1) Ist das Refinanzierungsunternehmen weder ein Kreditinstitut noch eine in § 2 Absatz 1 Nummer 1, 2 oder Nummer 3a genannte Einrichtung, können die in § 22a Absatz 1 Satz 1 genannten Gegenstände des Refinanzierungsunternehmens, auf deren Übertragung ein Unternehmen im Sinne des § 1 Absatz 24 Satz 1 Nummer 1 bis 6 einen Anspruch hat, in ein von einem inländischen Kreditinstitut oder von der Kreditanstalt für Wiederaufbau geführtes Refinanzierungsregister eingetragen werden. Enthält das Refinanzierungsregister daneben Gegenstände, deren Übertragung das registerführende oder ein anderes Unternehmen schuldet, so ist für jeden zur Übertragung Verpflichteten innerhalb desselben Refinanzierungsregisters eine gesonderte Abteilung und innerhalb dieser für jede Refinanzierungstransaktion eine Unterabteilung zu bilden.</w:t>
      </w:r>
    </w:p>
    <w:p>
      <w:r>
        <w:t xml:space="preserve">(2) Ist das Refinanzierungsunternehmen ein Kreditinstitut, das keine Pfandbriefbank ist und für welches die Führung eines eigenen Refinanzierungsregisters nach Art und Umfang seines Geschäftsbetriebs eine unangemessene Belastung darstellt, so soll die Bundesanstalt auf Antrag des Refinanzierungsunternehmens der Führung des Refinanzierungsregisters durch ein anderes Kreditinstitut zustimmen. Die Zustimmung der Bundesanstalt gilt als erteilt, wenn sie nicht binnen eines Monats nach Stellung des Antrages verweigert wird. Fallen die Gründe einer Registerführung durch Dritte nachträglich weg, kann die Bundesanstalt anordnen, dass die Registerführung binnen angemessener Frist einheitlich durch das Refinanzierungsunternehmen fortgeführt wird; § 22k Absatz 1a Satz 3 gilt entsprechend.</w:t>
      </w:r>
    </w:p>
    <w:p>
      <w:r>
        <w:t xml:space="preserve">(3) Eintragungen, die für andere Kreditinstitute vorgenommen werden, ohne dass eine Zustimmung der Bundesanstalt nach Absatz 2 vorliegt, sind unwirksam.</w:t>
      </w:r>
    </w:p>
    <w:p>
      <w:r>
        <w:t xml:space="preserve">(4) § 22a Abs. 2 und 3, auch in Verbindung mit Abs. 4, findet entsprechende Anwendung.</w:t>
      </w:r>
    </w:p>
    <w:p>
      <w:r>
        <w:rPr>
          <w:color w:val="555555"/>
          <w:sz w:val="17"/>
        </w:rPr>
        <w:t xml:space="preserve">Zitiervorschlag: § 22b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